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17"/>
          <w:sz w:val="44"/>
          <w:szCs w:val="4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17"/>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auto"/>
          <w:spacing w:val="-17"/>
          <w:sz w:val="44"/>
          <w:szCs w:val="44"/>
          <w:shd w:val="clear" w:color="auto" w:fill="FFFFFF"/>
          <w:lang w:val="en-US" w:eastAsia="zh-CN"/>
        </w:rPr>
        <w:t>淄博市行政审批服务局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pPr>
      <w:r>
        <w:rPr>
          <w:rFonts w:hint="eastAsia" w:ascii="Times New Roman" w:hAnsi="Times New Roman" w:eastAsia="方正小标宋简体" w:cs="方正小标宋简体"/>
          <w:b w:val="0"/>
          <w:bCs/>
          <w:i w:val="0"/>
          <w:caps w:val="0"/>
          <w:color w:val="auto"/>
          <w:spacing w:val="-17"/>
          <w:sz w:val="44"/>
          <w:szCs w:val="44"/>
          <w:shd w:val="clear" w:color="auto" w:fill="FFFFFF"/>
          <w:lang w:val="en-US" w:eastAsia="zh-CN"/>
        </w:rPr>
        <w:t>2024</w:t>
      </w:r>
      <w:r>
        <w:rPr>
          <w:rFonts w:hint="eastAsia" w:ascii="方正小标宋简体" w:hAnsi="方正小标宋简体" w:eastAsia="方正小标宋简体" w:cs="方正小标宋简体"/>
          <w:b w:val="0"/>
          <w:bCs/>
          <w:i w:val="0"/>
          <w:caps w:val="0"/>
          <w:color w:val="auto"/>
          <w:spacing w:val="-17"/>
          <w:sz w:val="44"/>
          <w:szCs w:val="44"/>
          <w:shd w:val="clear" w:color="auto" w:fill="FFFFFF"/>
          <w:lang w:val="en-US" w:eastAsia="zh-CN"/>
        </w:rPr>
        <w:t>年</w:t>
      </w:r>
      <w:r>
        <w:rPr>
          <w:rFonts w:hint="eastAsia" w:ascii="方正小标宋简体" w:hAnsi="方正小标宋简体" w:eastAsia="方正小标宋简体" w:cs="方正小标宋简体"/>
          <w:b w:val="0"/>
          <w:bCs/>
          <w:i w:val="0"/>
          <w:caps w:val="0"/>
          <w:color w:val="auto"/>
          <w:spacing w:val="-17"/>
          <w:sz w:val="44"/>
          <w:szCs w:val="44"/>
          <w:shd w:val="clear" w:color="auto" w:fill="FFFFFF"/>
        </w:rPr>
        <w:t>政府信息公开工作</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年度报告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本年度报告中所列数据的统计期限自</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Times New Roman" w:hAnsi="Times New Roman" w:eastAsia="仿宋_GB2312" w:cs="仿宋_GB2312"/>
          <w:sz w:val="32"/>
          <w:szCs w:val="32"/>
          <w:lang w:eastAsia="zh-CN"/>
        </w:rPr>
        <w:t>1</w:t>
      </w:r>
      <w:r>
        <w:rPr>
          <w:rFonts w:hint="eastAsia" w:ascii="仿宋_GB2312" w:hAnsi="仿宋_GB2312" w:eastAsia="仿宋_GB2312" w:cs="仿宋_GB2312"/>
          <w:sz w:val="32"/>
          <w:szCs w:val="32"/>
          <w:lang w:eastAsia="zh-CN"/>
        </w:rPr>
        <w:t>月</w:t>
      </w:r>
      <w:r>
        <w:rPr>
          <w:rFonts w:hint="eastAsia" w:ascii="Times New Roman" w:hAnsi="Times New Roman" w:eastAsia="仿宋_GB2312" w:cs="仿宋_GB2312"/>
          <w:sz w:val="32"/>
          <w:szCs w:val="32"/>
          <w:lang w:eastAsia="zh-CN"/>
        </w:rPr>
        <w:t>1</w:t>
      </w:r>
      <w:r>
        <w:rPr>
          <w:rFonts w:hint="eastAsia" w:ascii="仿宋_GB2312" w:hAnsi="仿宋_GB2312" w:eastAsia="仿宋_GB2312" w:cs="仿宋_GB2312"/>
          <w:sz w:val="32"/>
          <w:szCs w:val="32"/>
          <w:lang w:eastAsia="zh-CN"/>
        </w:rPr>
        <w:t>日起，至</w:t>
      </w: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Times New Roman" w:hAnsi="Times New Roman" w:eastAsia="仿宋_GB2312" w:cs="仿宋_GB2312"/>
          <w:sz w:val="32"/>
          <w:szCs w:val="32"/>
          <w:lang w:eastAsia="zh-CN"/>
        </w:rPr>
        <w:t>12</w:t>
      </w:r>
      <w:r>
        <w:rPr>
          <w:rFonts w:hint="eastAsia" w:ascii="仿宋_GB2312" w:hAnsi="仿宋_GB2312" w:eastAsia="仿宋_GB2312" w:cs="仿宋_GB2312"/>
          <w:sz w:val="32"/>
          <w:szCs w:val="32"/>
          <w:lang w:eastAsia="zh-CN"/>
        </w:rPr>
        <w:t>月</w:t>
      </w:r>
      <w:r>
        <w:rPr>
          <w:rFonts w:hint="eastAsia" w:ascii="Times New Roman" w:hAnsi="Times New Roman" w:eastAsia="仿宋_GB2312" w:cs="仿宋_GB2312"/>
          <w:sz w:val="32"/>
          <w:szCs w:val="32"/>
          <w:lang w:eastAsia="zh-CN"/>
        </w:rPr>
        <w:t>31</w:t>
      </w:r>
      <w:r>
        <w:rPr>
          <w:rFonts w:hint="eastAsia" w:ascii="仿宋_GB2312" w:hAnsi="仿宋_GB2312" w:eastAsia="仿宋_GB2312" w:cs="仿宋_GB2312"/>
          <w:sz w:val="32"/>
          <w:szCs w:val="32"/>
          <w:lang w:eastAsia="zh-CN"/>
        </w:rPr>
        <w:t>日止。如对报告内容有疑问，请与</w:t>
      </w:r>
      <w:r>
        <w:rPr>
          <w:rFonts w:hint="eastAsia" w:ascii="仿宋_GB2312" w:hAnsi="仿宋_GB2312" w:eastAsia="仿宋_GB2312" w:cs="仿宋_GB2312"/>
          <w:sz w:val="32"/>
          <w:szCs w:val="32"/>
          <w:lang w:val="en-US" w:eastAsia="zh-CN"/>
        </w:rPr>
        <w:t>淄博市行政审批服务局</w:t>
      </w:r>
      <w:r>
        <w:rPr>
          <w:rFonts w:hint="eastAsia" w:ascii="仿宋_GB2312" w:hAnsi="仿宋_GB2312" w:eastAsia="仿宋_GB2312" w:cs="仿宋_GB2312"/>
          <w:sz w:val="32"/>
          <w:szCs w:val="32"/>
          <w:lang w:eastAsia="zh-CN"/>
        </w:rPr>
        <w:t>联系（地址：淄博市张店区西四路</w:t>
      </w:r>
      <w:r>
        <w:rPr>
          <w:rFonts w:hint="eastAsia" w:ascii="Times New Roman" w:hAnsi="Times New Roman" w:eastAsia="仿宋_GB2312" w:cs="仿宋_GB2312"/>
          <w:sz w:val="32"/>
          <w:szCs w:val="32"/>
          <w:lang w:eastAsia="zh-CN"/>
        </w:rPr>
        <w:t>119</w:t>
      </w:r>
      <w:r>
        <w:rPr>
          <w:rFonts w:hint="eastAsia" w:ascii="仿宋_GB2312" w:hAnsi="仿宋_GB2312" w:eastAsia="仿宋_GB2312" w:cs="仿宋_GB2312"/>
          <w:sz w:val="32"/>
          <w:szCs w:val="32"/>
          <w:lang w:eastAsia="zh-CN"/>
        </w:rPr>
        <w:t>号淄博市行政审批服务局信息公开领导小组办公室；邮编：</w:t>
      </w:r>
      <w:r>
        <w:rPr>
          <w:rFonts w:hint="eastAsia" w:ascii="Times New Roman" w:hAnsi="Times New Roman" w:eastAsia="仿宋_GB2312" w:cs="仿宋_GB2312"/>
          <w:sz w:val="32"/>
          <w:szCs w:val="32"/>
          <w:lang w:eastAsia="zh-CN"/>
        </w:rPr>
        <w:t>255022</w:t>
      </w:r>
      <w:r>
        <w:rPr>
          <w:rFonts w:hint="eastAsia" w:ascii="仿宋_GB2312" w:hAnsi="仿宋_GB2312" w:eastAsia="仿宋_GB2312" w:cs="仿宋_GB2312"/>
          <w:sz w:val="32"/>
          <w:szCs w:val="32"/>
          <w:lang w:eastAsia="zh-CN"/>
        </w:rPr>
        <w:t>；电话：</w:t>
      </w:r>
      <w:r>
        <w:rPr>
          <w:rFonts w:hint="eastAsia" w:ascii="Times New Roman" w:hAnsi="Times New Roman" w:eastAsia="仿宋_GB2312" w:cs="仿宋_GB2312"/>
          <w:sz w:val="32"/>
          <w:szCs w:val="32"/>
          <w:lang w:val="en-US" w:eastAsia="zh-CN"/>
        </w:rPr>
        <w:t>0533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2306909</w:t>
      </w: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"mailto:zbxzspfw@163.com)%E3%80%82" \t "http://spj.zibo.gov.cn/gongkai/_blank"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sxzspfwjbgs@zb.shandong.cn</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rPr>
        <w:t>一、总体情况</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淄博市行政审批服务局</w:t>
      </w:r>
      <w:r>
        <w:rPr>
          <w:rFonts w:ascii="Times New Roman" w:hAnsi="Times New Roman" w:eastAsia="仿宋_GB2312" w:cs="Times New Roman"/>
          <w:color w:val="auto"/>
          <w:sz w:val="32"/>
          <w:szCs w:val="32"/>
        </w:rPr>
        <w:t>全面贯彻落实党的二十大精神，坚持围绕中心、服务大局，</w:t>
      </w:r>
      <w:r>
        <w:rPr>
          <w:rFonts w:hint="eastAsia" w:ascii="仿宋_GB2312" w:hAnsi="仿宋_GB2312" w:eastAsia="仿宋_GB2312" w:cs="仿宋_GB2312"/>
          <w:color w:val="auto"/>
          <w:sz w:val="32"/>
          <w:szCs w:val="32"/>
          <w:lang w:val="en-US" w:eastAsia="zh-CN"/>
        </w:rPr>
        <w:t>立足行政审批和政务服务工作，不断深化公开内容，提升政府工作“透明度”和公信力，</w:t>
      </w:r>
      <w:r>
        <w:rPr>
          <w:rFonts w:ascii="Times New Roman" w:hAnsi="Times New Roman" w:eastAsia="仿宋_GB2312" w:cs="Times New Roman"/>
          <w:color w:val="auto"/>
          <w:sz w:val="32"/>
          <w:szCs w:val="32"/>
        </w:rPr>
        <w:t>为</w:t>
      </w:r>
      <w:r>
        <w:rPr>
          <w:rFonts w:hint="eastAsia" w:ascii="Times New Roman" w:hAnsi="Times New Roman" w:eastAsia="仿宋_GB2312" w:cs="Times New Roman"/>
          <w:color w:val="auto"/>
          <w:sz w:val="32"/>
          <w:szCs w:val="32"/>
          <w:lang w:eastAsia="zh-CN"/>
        </w:rPr>
        <w:t>新时代中国特色社会主义</w:t>
      </w:r>
      <w:r>
        <w:rPr>
          <w:rFonts w:ascii="Times New Roman" w:hAnsi="Times New Roman" w:eastAsia="仿宋_GB2312" w:cs="Times New Roman"/>
          <w:color w:val="auto"/>
          <w:sz w:val="32"/>
          <w:szCs w:val="32"/>
        </w:rPr>
        <w:t>现代化强</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建设做出新贡献。</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（一）持续深化主动公开，提升信息透明度</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kern w:val="2"/>
          <w:sz w:val="32"/>
          <w:szCs w:val="32"/>
          <w:lang w:val="en-US" w:eastAsia="zh-CN" w:bidi="zh-CN"/>
        </w:rPr>
        <w:t>充分发挥政府门户网站政务公开载体作用，抓好重点领域信息公开。2024年，共制发行政规范性文件1件，普通政府部门文件3件。发布人事任免信息3条，财政预算、决算信息5条，行政执法公示类</w:t>
      </w:r>
      <w:r>
        <w:rPr>
          <w:rFonts w:hint="eastAsia" w:ascii="仿宋_GB2312" w:hAnsi="仿宋_GB2312" w:eastAsia="仿宋_GB2312" w:cs="仿宋_GB2312"/>
          <w:color w:val="auto"/>
          <w:sz w:val="32"/>
          <w:szCs w:val="32"/>
          <w:lang w:val="en-US" w:eastAsia="zh-CN"/>
        </w:rPr>
        <w:t>信息</w:t>
      </w:r>
      <w:r>
        <w:rPr>
          <w:rFonts w:hint="eastAsia" w:ascii="Times New Roman" w:hAnsi="Times New Roman"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val="en-US" w:eastAsia="zh-CN"/>
        </w:rPr>
        <w:t>条，政策解读</w:t>
      </w:r>
      <w:r>
        <w:rPr>
          <w:rFonts w:hint="eastAsia" w:ascii="Times New Roman" w:hAnsi="Times New Roman" w:eastAsia="仿宋_GB2312" w:cs="仿宋_GB2312"/>
          <w:color w:val="auto"/>
          <w:sz w:val="32"/>
          <w:szCs w:val="32"/>
          <w:lang w:val="en-US" w:eastAsia="zh-CN"/>
        </w:rPr>
        <w:t>51</w:t>
      </w:r>
      <w:r>
        <w:rPr>
          <w:rFonts w:hint="eastAsia" w:ascii="仿宋_GB2312" w:hAnsi="仿宋_GB2312" w:eastAsia="仿宋_GB2312" w:cs="仿宋_GB2312"/>
          <w:color w:val="auto"/>
          <w:sz w:val="32"/>
          <w:szCs w:val="32"/>
          <w:lang w:val="en-US" w:eastAsia="zh-CN"/>
        </w:rPr>
        <w:t>条，规划计划及完成情况</w:t>
      </w: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条，新闻发布会信息</w:t>
      </w:r>
      <w:r>
        <w:rPr>
          <w:rFonts w:hint="eastAsia" w:ascii="Times New Roman" w:hAnsi="Times New Roman"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条，社会组织审批公示</w:t>
      </w:r>
      <w:r>
        <w:rPr>
          <w:rFonts w:hint="eastAsia" w:ascii="Times New Roman" w:hAnsi="Times New Roman"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条，优化营商环境配套措施和工作动态</w:t>
      </w:r>
      <w:r>
        <w:rPr>
          <w:rFonts w:hint="eastAsia" w:ascii="Times New Roman" w:hAnsi="Times New Roman" w:eastAsia="仿宋_GB2312" w:cs="仿宋_GB2312"/>
          <w:color w:val="auto"/>
          <w:sz w:val="32"/>
          <w:szCs w:val="32"/>
          <w:lang w:val="en-US" w:eastAsia="zh-CN"/>
        </w:rPr>
        <w:t>29</w:t>
      </w:r>
      <w:r>
        <w:rPr>
          <w:rFonts w:hint="eastAsia" w:ascii="仿宋_GB2312" w:hAnsi="仿宋_GB2312" w:eastAsia="仿宋_GB2312" w:cs="仿宋_GB2312"/>
          <w:color w:val="auto"/>
          <w:sz w:val="32"/>
          <w:szCs w:val="32"/>
          <w:lang w:val="en-US" w:eastAsia="zh-CN"/>
        </w:rPr>
        <w:t>条，政务服务事项清单</w:t>
      </w:r>
      <w:r>
        <w:rPr>
          <w:rFonts w:hint="eastAsia" w:ascii="Times New Roman" w:hAnsi="Times New Roman"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类，局长办公会议公开并解读</w:t>
      </w:r>
      <w:r>
        <w:rPr>
          <w:rFonts w:hint="eastAsia" w:ascii="Times New Roman" w:hAnsi="Times New Roman"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val="en-US" w:eastAsia="zh-CN"/>
        </w:rPr>
        <w:t>次。</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（二）规范优化依申请公开，保障公众知情权</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仿宋_GB2312" w:hAnsi="仿宋_GB2312" w:eastAsia="仿宋_GB2312" w:cs="仿宋_GB2312"/>
          <w:color w:val="auto"/>
          <w:kern w:val="2"/>
          <w:sz w:val="32"/>
          <w:szCs w:val="32"/>
          <w:lang w:val="en-US" w:eastAsia="zh-CN" w:bidi="zh-CN"/>
        </w:rPr>
      </w:pPr>
      <w:r>
        <w:rPr>
          <w:rFonts w:hint="eastAsia" w:ascii="仿宋_GB2312" w:hAnsi="仿宋_GB2312" w:eastAsia="仿宋_GB2312" w:cs="仿宋_GB2312"/>
          <w:color w:val="auto"/>
          <w:kern w:val="2"/>
          <w:sz w:val="32"/>
          <w:szCs w:val="32"/>
          <w:lang w:val="en-US" w:eastAsia="zh-CN" w:bidi="zh-CN"/>
        </w:rPr>
        <w:t>明确依申请工作受理范围和办理流程，全程跟踪办件进度，确保高效限时办结。</w:t>
      </w:r>
      <w:r>
        <w:rPr>
          <w:rFonts w:hint="eastAsia" w:ascii="Times New Roman" w:hAnsi="Times New Roman" w:eastAsia="仿宋_GB2312" w:cs="仿宋_GB2312"/>
          <w:color w:val="auto"/>
          <w:kern w:val="2"/>
          <w:sz w:val="32"/>
          <w:szCs w:val="32"/>
          <w:lang w:val="en-US" w:eastAsia="zh-CN" w:bidi="zh-CN"/>
        </w:rPr>
        <w:t>2024</w:t>
      </w:r>
      <w:r>
        <w:rPr>
          <w:rFonts w:hint="eastAsia" w:ascii="仿宋_GB2312" w:hAnsi="仿宋_GB2312" w:eastAsia="仿宋_GB2312" w:cs="仿宋_GB2312"/>
          <w:color w:val="auto"/>
          <w:kern w:val="2"/>
          <w:sz w:val="32"/>
          <w:szCs w:val="32"/>
          <w:lang w:val="en-US" w:eastAsia="zh-CN" w:bidi="zh-CN"/>
        </w:rPr>
        <w:t>年，共办理自然人提交的政府信息公开申请</w:t>
      </w:r>
      <w:r>
        <w:rPr>
          <w:rFonts w:hint="eastAsia" w:ascii="Times New Roman" w:hAnsi="Times New Roman" w:eastAsia="仿宋_GB2312" w:cs="仿宋_GB2312"/>
          <w:color w:val="auto"/>
          <w:kern w:val="2"/>
          <w:sz w:val="32"/>
          <w:szCs w:val="32"/>
          <w:lang w:val="en-US" w:eastAsia="zh-CN" w:bidi="zh-CN"/>
        </w:rPr>
        <w:t>7</w:t>
      </w:r>
      <w:r>
        <w:rPr>
          <w:rFonts w:hint="eastAsia" w:ascii="仿宋_GB2312" w:hAnsi="仿宋_GB2312" w:eastAsia="仿宋_GB2312" w:cs="仿宋_GB2312"/>
          <w:color w:val="auto"/>
          <w:kern w:val="2"/>
          <w:sz w:val="32"/>
          <w:szCs w:val="32"/>
          <w:lang w:val="en-US" w:eastAsia="zh-CN" w:bidi="zh-CN"/>
        </w:rPr>
        <w:t>件，范围涉及项目立项、建设工程、行业经营等行政许可信息，其中予以公开</w:t>
      </w:r>
      <w:r>
        <w:rPr>
          <w:rFonts w:hint="eastAsia" w:ascii="Times New Roman" w:hAnsi="Times New Roman" w:eastAsia="仿宋_GB2312" w:cs="仿宋_GB2312"/>
          <w:color w:val="auto"/>
          <w:kern w:val="2"/>
          <w:sz w:val="32"/>
          <w:szCs w:val="32"/>
          <w:lang w:val="en-US" w:eastAsia="zh-CN" w:bidi="zh-CN"/>
        </w:rPr>
        <w:t>1</w:t>
      </w:r>
      <w:r>
        <w:rPr>
          <w:rFonts w:hint="eastAsia" w:ascii="仿宋_GB2312" w:hAnsi="仿宋_GB2312" w:eastAsia="仿宋_GB2312" w:cs="仿宋_GB2312"/>
          <w:color w:val="auto"/>
          <w:kern w:val="2"/>
          <w:sz w:val="32"/>
          <w:szCs w:val="32"/>
          <w:lang w:val="en-US" w:eastAsia="zh-CN" w:bidi="zh-CN"/>
        </w:rPr>
        <w:t>件，部分公开</w:t>
      </w:r>
      <w:r>
        <w:rPr>
          <w:rFonts w:hint="eastAsia" w:ascii="Times New Roman" w:hAnsi="Times New Roman" w:eastAsia="仿宋_GB2312" w:cs="仿宋_GB2312"/>
          <w:color w:val="auto"/>
          <w:kern w:val="2"/>
          <w:sz w:val="32"/>
          <w:szCs w:val="32"/>
          <w:lang w:val="en-US" w:eastAsia="zh-CN" w:bidi="zh-CN"/>
        </w:rPr>
        <w:t>0</w:t>
      </w:r>
      <w:r>
        <w:rPr>
          <w:rFonts w:hint="eastAsia" w:ascii="仿宋_GB2312" w:hAnsi="仿宋_GB2312" w:eastAsia="仿宋_GB2312" w:cs="仿宋_GB2312"/>
          <w:color w:val="auto"/>
          <w:kern w:val="2"/>
          <w:sz w:val="32"/>
          <w:szCs w:val="32"/>
          <w:lang w:val="en-US" w:eastAsia="zh-CN" w:bidi="zh-CN"/>
        </w:rPr>
        <w:t>件，不予公开</w:t>
      </w:r>
      <w:r>
        <w:rPr>
          <w:rFonts w:hint="eastAsia" w:ascii="Times New Roman" w:hAnsi="Times New Roman" w:eastAsia="仿宋_GB2312" w:cs="仿宋_GB2312"/>
          <w:color w:val="auto"/>
          <w:kern w:val="2"/>
          <w:sz w:val="32"/>
          <w:szCs w:val="32"/>
          <w:lang w:val="en-US" w:eastAsia="zh-CN" w:bidi="zh-CN"/>
        </w:rPr>
        <w:t>0</w:t>
      </w:r>
      <w:r>
        <w:rPr>
          <w:rFonts w:hint="eastAsia" w:ascii="仿宋_GB2312" w:hAnsi="仿宋_GB2312" w:eastAsia="仿宋_GB2312" w:cs="仿宋_GB2312"/>
          <w:color w:val="auto"/>
          <w:kern w:val="2"/>
          <w:sz w:val="32"/>
          <w:szCs w:val="32"/>
          <w:lang w:val="en-US" w:eastAsia="zh-CN" w:bidi="zh-CN"/>
        </w:rPr>
        <w:t>件，无法提供</w:t>
      </w:r>
      <w:r>
        <w:rPr>
          <w:rFonts w:hint="eastAsia" w:ascii="Times New Roman" w:hAnsi="Times New Roman" w:eastAsia="仿宋_GB2312" w:cs="仿宋_GB2312"/>
          <w:color w:val="auto"/>
          <w:kern w:val="2"/>
          <w:sz w:val="32"/>
          <w:szCs w:val="32"/>
          <w:lang w:val="en-US" w:eastAsia="zh-CN" w:bidi="zh-CN"/>
        </w:rPr>
        <w:t>6</w:t>
      </w:r>
      <w:r>
        <w:rPr>
          <w:rFonts w:hint="eastAsia" w:ascii="仿宋_GB2312" w:hAnsi="仿宋_GB2312" w:eastAsia="仿宋_GB2312" w:cs="仿宋_GB2312"/>
          <w:color w:val="auto"/>
          <w:kern w:val="2"/>
          <w:sz w:val="32"/>
          <w:szCs w:val="32"/>
          <w:lang w:val="en-US" w:eastAsia="zh-CN" w:bidi="zh-CN"/>
        </w:rPr>
        <w:t>件，不予处理及其他处理</w:t>
      </w:r>
      <w:r>
        <w:rPr>
          <w:rFonts w:hint="eastAsia" w:ascii="Times New Roman" w:hAnsi="Times New Roman" w:eastAsia="仿宋_GB2312" w:cs="仿宋_GB2312"/>
          <w:color w:val="auto"/>
          <w:kern w:val="2"/>
          <w:sz w:val="32"/>
          <w:szCs w:val="32"/>
          <w:lang w:val="en-US" w:eastAsia="zh-CN" w:bidi="zh-CN"/>
        </w:rPr>
        <w:t>0</w:t>
      </w:r>
      <w:r>
        <w:rPr>
          <w:rFonts w:hint="eastAsia" w:ascii="仿宋_GB2312" w:hAnsi="仿宋_GB2312" w:eastAsia="仿宋_GB2312" w:cs="仿宋_GB2312"/>
          <w:color w:val="auto"/>
          <w:kern w:val="2"/>
          <w:sz w:val="32"/>
          <w:szCs w:val="32"/>
          <w:lang w:val="en-US" w:eastAsia="zh-CN" w:bidi="zh-CN"/>
        </w:rPr>
        <w:t>件，已全部按照规定程序和时限要求办理完毕，所有答复均未收费，未出现行政复议、诉讼和举报，做到了依法有据、严谨规范、慎重稳妥。</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（三）强化政府信息管理，提升政务公开效能</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仿宋_GB2312" w:hAnsi="仿宋_GB2312" w:eastAsia="仿宋_GB2312" w:cs="仿宋_GB2312"/>
          <w:color w:val="auto"/>
          <w:kern w:val="2"/>
          <w:sz w:val="32"/>
          <w:szCs w:val="32"/>
          <w:lang w:val="en-US" w:eastAsia="zh-CN" w:bidi="zh-CN"/>
        </w:rPr>
      </w:pPr>
      <w:r>
        <w:rPr>
          <w:rFonts w:hint="eastAsia" w:ascii="仿宋_GB2312" w:hAnsi="仿宋_GB2312" w:eastAsia="仿宋_GB2312" w:cs="仿宋_GB2312"/>
          <w:color w:val="auto"/>
          <w:kern w:val="2"/>
          <w:sz w:val="32"/>
          <w:szCs w:val="32"/>
          <w:lang w:val="en-US" w:eastAsia="zh-CN" w:bidi="zh-CN"/>
        </w:rPr>
        <w:t>编制淄博市行政审批服务局主动公开事项目录和主动公开事项目录指引，并指导各区县局做好目录编制工作。把好信息公开审核关,严格落实《淄博市行政审批服务局政府信息公开保密审查制度》《淄博市行政审批服务局信息发布“三审三校”制度（试行）》，确保信息公开真实、准确。规范信息发布格式要素，结合政务公开有关工作规范及政府网站要求，规范法规文件正文、附件发布格式，重点审核解读文件是否同步发布并相互准确关联，信息发布必填要素是否齐全等内容，确保信息公开合法、合规。</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（四）丰富公开平台功能，拓展发布渠道</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default" w:ascii="仿宋_GB2312" w:hAnsi="仿宋_GB2312" w:eastAsia="仿宋_GB2312" w:cs="仿宋_GB2312"/>
          <w:color w:val="auto"/>
          <w:kern w:val="2"/>
          <w:sz w:val="32"/>
          <w:szCs w:val="32"/>
          <w:lang w:val="en-US" w:eastAsia="zh-CN" w:bidi="zh-CN"/>
        </w:rPr>
      </w:pPr>
      <w:r>
        <w:rPr>
          <w:rFonts w:hint="default" w:ascii="仿宋_GB2312" w:hAnsi="仿宋_GB2312" w:eastAsia="仿宋_GB2312" w:cs="仿宋_GB2312"/>
          <w:color w:val="auto"/>
          <w:kern w:val="2"/>
          <w:sz w:val="32"/>
          <w:szCs w:val="32"/>
          <w:lang w:val="en-US" w:eastAsia="zh-CN" w:bidi="zh-CN"/>
        </w:rPr>
        <w:t>加强</w:t>
      </w:r>
      <w:r>
        <w:rPr>
          <w:rFonts w:hint="eastAsia" w:ascii="仿宋_GB2312" w:hAnsi="仿宋_GB2312" w:eastAsia="仿宋_GB2312" w:cs="仿宋_GB2312"/>
          <w:color w:val="auto"/>
          <w:kern w:val="2"/>
          <w:sz w:val="32"/>
          <w:szCs w:val="32"/>
          <w:lang w:val="en-US" w:eastAsia="zh-CN" w:bidi="zh-CN"/>
        </w:rPr>
        <w:t>局</w:t>
      </w:r>
      <w:r>
        <w:rPr>
          <w:rFonts w:hint="default" w:ascii="仿宋_GB2312" w:hAnsi="仿宋_GB2312" w:eastAsia="仿宋_GB2312" w:cs="仿宋_GB2312"/>
          <w:color w:val="auto"/>
          <w:kern w:val="2"/>
          <w:sz w:val="32"/>
          <w:szCs w:val="32"/>
          <w:lang w:val="en-US" w:eastAsia="zh-CN" w:bidi="zh-CN"/>
        </w:rPr>
        <w:t>官网管理</w:t>
      </w:r>
      <w:r>
        <w:rPr>
          <w:rFonts w:hint="eastAsia" w:ascii="仿宋_GB2312" w:hAnsi="仿宋_GB2312" w:eastAsia="仿宋_GB2312" w:cs="仿宋_GB2312"/>
          <w:color w:val="auto"/>
          <w:kern w:val="2"/>
          <w:sz w:val="32"/>
          <w:szCs w:val="32"/>
          <w:lang w:val="en-US" w:eastAsia="zh-CN" w:bidi="zh-CN"/>
        </w:rPr>
        <w:t>，</w:t>
      </w:r>
      <w:r>
        <w:rPr>
          <w:rFonts w:hint="default" w:ascii="仿宋_GB2312" w:hAnsi="仿宋_GB2312" w:eastAsia="仿宋_GB2312" w:cs="仿宋_GB2312"/>
          <w:color w:val="auto"/>
          <w:kern w:val="2"/>
          <w:sz w:val="32"/>
          <w:szCs w:val="32"/>
          <w:lang w:val="en-US" w:eastAsia="zh-CN" w:bidi="zh-CN"/>
        </w:rPr>
        <w:t>对官网所有栏目进行</w:t>
      </w:r>
      <w:r>
        <w:rPr>
          <w:rFonts w:hint="eastAsia" w:ascii="仿宋_GB2312" w:hAnsi="仿宋_GB2312" w:eastAsia="仿宋_GB2312" w:cs="仿宋_GB2312"/>
          <w:color w:val="auto"/>
          <w:kern w:val="2"/>
          <w:sz w:val="32"/>
          <w:szCs w:val="32"/>
          <w:lang w:val="en-US" w:eastAsia="zh-CN" w:bidi="zh-CN"/>
        </w:rPr>
        <w:t>整合梳理</w:t>
      </w:r>
      <w:r>
        <w:rPr>
          <w:rFonts w:hint="default" w:ascii="仿宋_GB2312" w:hAnsi="仿宋_GB2312" w:eastAsia="仿宋_GB2312" w:cs="仿宋_GB2312"/>
          <w:color w:val="auto"/>
          <w:kern w:val="2"/>
          <w:sz w:val="32"/>
          <w:szCs w:val="32"/>
          <w:lang w:val="en-US" w:eastAsia="zh-CN" w:bidi="zh-CN"/>
        </w:rPr>
        <w:t>，按要求发布《</w:t>
      </w:r>
      <w:r>
        <w:rPr>
          <w:rFonts w:hint="default" w:ascii="Times New Roman" w:hAnsi="Times New Roman" w:eastAsia="仿宋_GB2312" w:cs="仿宋_GB2312"/>
          <w:color w:val="auto"/>
          <w:kern w:val="2"/>
          <w:sz w:val="32"/>
          <w:szCs w:val="32"/>
          <w:lang w:val="en-US" w:eastAsia="zh-CN" w:bidi="zh-CN"/>
        </w:rPr>
        <w:t>2024</w:t>
      </w:r>
      <w:r>
        <w:rPr>
          <w:rFonts w:hint="default" w:ascii="仿宋_GB2312" w:hAnsi="仿宋_GB2312" w:eastAsia="仿宋_GB2312" w:cs="仿宋_GB2312"/>
          <w:color w:val="auto"/>
          <w:kern w:val="2"/>
          <w:sz w:val="32"/>
          <w:szCs w:val="32"/>
          <w:lang w:val="en-US" w:eastAsia="zh-CN" w:bidi="zh-CN"/>
        </w:rPr>
        <w:t>年度政务公开</w:t>
      </w:r>
      <w:r>
        <w:rPr>
          <w:rFonts w:hint="eastAsia" w:ascii="仿宋_GB2312" w:hAnsi="仿宋_GB2312" w:eastAsia="仿宋_GB2312" w:cs="仿宋_GB2312"/>
          <w:color w:val="auto"/>
          <w:kern w:val="2"/>
          <w:sz w:val="32"/>
          <w:szCs w:val="32"/>
          <w:lang w:val="en-US" w:eastAsia="zh-CN" w:bidi="zh-CN"/>
        </w:rPr>
        <w:t>目录</w:t>
      </w:r>
      <w:r>
        <w:rPr>
          <w:rFonts w:hint="default" w:ascii="仿宋_GB2312" w:hAnsi="仿宋_GB2312" w:eastAsia="仿宋_GB2312" w:cs="仿宋_GB2312"/>
          <w:color w:val="auto"/>
          <w:kern w:val="2"/>
          <w:sz w:val="32"/>
          <w:szCs w:val="32"/>
          <w:lang w:val="en-US" w:eastAsia="zh-CN" w:bidi="zh-CN"/>
        </w:rPr>
        <w:t>》，</w:t>
      </w:r>
      <w:r>
        <w:rPr>
          <w:rFonts w:hint="eastAsia" w:ascii="仿宋_GB2312" w:hAnsi="仿宋_GB2312" w:eastAsia="仿宋_GB2312" w:cs="仿宋_GB2312"/>
          <w:color w:val="auto"/>
          <w:kern w:val="2"/>
          <w:sz w:val="32"/>
          <w:szCs w:val="32"/>
          <w:lang w:val="en-US" w:eastAsia="zh-CN" w:bidi="zh-CN"/>
        </w:rPr>
        <w:t>明确信息发布科室、责任人，</w:t>
      </w:r>
      <w:r>
        <w:rPr>
          <w:rFonts w:hint="default" w:ascii="仿宋_GB2312" w:hAnsi="仿宋_GB2312" w:eastAsia="仿宋_GB2312" w:cs="仿宋_GB2312"/>
          <w:color w:val="auto"/>
          <w:kern w:val="2"/>
          <w:sz w:val="32"/>
          <w:szCs w:val="32"/>
          <w:lang w:val="en-US" w:eastAsia="zh-CN" w:bidi="zh-CN"/>
        </w:rPr>
        <w:t>优化栏目和访问页面，提升</w:t>
      </w:r>
      <w:r>
        <w:rPr>
          <w:rFonts w:hint="eastAsia" w:ascii="仿宋_GB2312" w:hAnsi="仿宋_GB2312" w:eastAsia="仿宋_GB2312" w:cs="仿宋_GB2312"/>
          <w:color w:val="auto"/>
          <w:kern w:val="2"/>
          <w:sz w:val="32"/>
          <w:szCs w:val="32"/>
          <w:lang w:val="en-US" w:eastAsia="zh-CN" w:bidi="zh-CN"/>
        </w:rPr>
        <w:t>访问</w:t>
      </w:r>
      <w:r>
        <w:rPr>
          <w:rFonts w:hint="default" w:ascii="仿宋_GB2312" w:hAnsi="仿宋_GB2312" w:eastAsia="仿宋_GB2312" w:cs="仿宋_GB2312"/>
          <w:color w:val="auto"/>
          <w:kern w:val="2"/>
          <w:sz w:val="32"/>
          <w:szCs w:val="32"/>
          <w:lang w:val="en-US" w:eastAsia="zh-CN" w:bidi="zh-CN"/>
        </w:rPr>
        <w:t>体验感和满意度。加强</w:t>
      </w:r>
      <w:r>
        <w:rPr>
          <w:rFonts w:hint="eastAsia" w:ascii="仿宋_GB2312" w:hAnsi="仿宋_GB2312" w:eastAsia="仿宋_GB2312" w:cs="仿宋_GB2312"/>
          <w:color w:val="auto"/>
          <w:kern w:val="2"/>
          <w:sz w:val="32"/>
          <w:szCs w:val="32"/>
          <w:lang w:val="en-US" w:eastAsia="zh-CN" w:bidi="zh-CN"/>
        </w:rPr>
        <w:t>局</w:t>
      </w:r>
      <w:r>
        <w:rPr>
          <w:rFonts w:hint="default" w:ascii="仿宋_GB2312" w:hAnsi="仿宋_GB2312" w:eastAsia="仿宋_GB2312" w:cs="仿宋_GB2312"/>
          <w:color w:val="auto"/>
          <w:kern w:val="2"/>
          <w:sz w:val="32"/>
          <w:szCs w:val="32"/>
          <w:lang w:val="en-US" w:eastAsia="zh-CN" w:bidi="zh-CN"/>
        </w:rPr>
        <w:t>官微管理</w:t>
      </w:r>
      <w:r>
        <w:rPr>
          <w:rFonts w:hint="eastAsia" w:ascii="仿宋_GB2312" w:hAnsi="仿宋_GB2312" w:eastAsia="仿宋_GB2312" w:cs="仿宋_GB2312"/>
          <w:color w:val="auto"/>
          <w:kern w:val="2"/>
          <w:sz w:val="32"/>
          <w:szCs w:val="32"/>
          <w:lang w:val="en-US" w:eastAsia="zh-CN" w:bidi="zh-CN"/>
        </w:rPr>
        <w:t>，</w:t>
      </w:r>
      <w:r>
        <w:rPr>
          <w:rFonts w:hint="default" w:ascii="仿宋_GB2312" w:hAnsi="仿宋_GB2312" w:eastAsia="仿宋_GB2312" w:cs="仿宋_GB2312"/>
          <w:color w:val="auto"/>
          <w:kern w:val="2"/>
          <w:sz w:val="32"/>
          <w:szCs w:val="32"/>
          <w:lang w:val="en-US" w:eastAsia="zh-CN" w:bidi="zh-CN"/>
        </w:rPr>
        <w:t>坚持“减量、规范、提质”原则，严格落实“一个平台一个新媒体”要求，紧紧聚焦企业</w:t>
      </w:r>
      <w:r>
        <w:rPr>
          <w:rFonts w:hint="eastAsia" w:ascii="仿宋_GB2312" w:hAnsi="仿宋_GB2312" w:eastAsia="仿宋_GB2312" w:cs="仿宋_GB2312"/>
          <w:color w:val="auto"/>
          <w:kern w:val="2"/>
          <w:sz w:val="32"/>
          <w:szCs w:val="32"/>
          <w:lang w:val="en-US" w:eastAsia="zh-CN" w:bidi="zh-CN"/>
        </w:rPr>
        <w:t>群众</w:t>
      </w:r>
      <w:r>
        <w:rPr>
          <w:rFonts w:hint="default" w:ascii="仿宋_GB2312" w:hAnsi="仿宋_GB2312" w:eastAsia="仿宋_GB2312" w:cs="仿宋_GB2312"/>
          <w:color w:val="auto"/>
          <w:kern w:val="2"/>
          <w:sz w:val="32"/>
          <w:szCs w:val="32"/>
          <w:lang w:val="en-US" w:eastAsia="zh-CN" w:bidi="zh-CN"/>
        </w:rPr>
        <w:t>关注关心</w:t>
      </w:r>
      <w:r>
        <w:rPr>
          <w:rFonts w:hint="eastAsia" w:ascii="仿宋_GB2312" w:hAnsi="仿宋_GB2312" w:eastAsia="仿宋_GB2312" w:cs="仿宋_GB2312"/>
          <w:color w:val="auto"/>
          <w:kern w:val="2"/>
          <w:sz w:val="32"/>
          <w:szCs w:val="32"/>
          <w:lang w:val="en-US" w:eastAsia="zh-CN" w:bidi="zh-CN"/>
        </w:rPr>
        <w:t>热点</w:t>
      </w:r>
      <w:r>
        <w:rPr>
          <w:rFonts w:hint="default" w:ascii="仿宋_GB2312" w:hAnsi="仿宋_GB2312" w:eastAsia="仿宋_GB2312" w:cs="仿宋_GB2312"/>
          <w:color w:val="auto"/>
          <w:kern w:val="2"/>
          <w:sz w:val="32"/>
          <w:szCs w:val="32"/>
          <w:lang w:val="en-US" w:eastAsia="zh-CN" w:bidi="zh-CN"/>
        </w:rPr>
        <w:t>发布信息，扩大受众面和影响力。</w:t>
      </w:r>
      <w:r>
        <w:rPr>
          <w:rFonts w:hint="default" w:ascii="Times New Roman" w:hAnsi="Times New Roman" w:eastAsia="仿宋_GB2312" w:cs="仿宋_GB2312"/>
          <w:color w:val="auto"/>
          <w:kern w:val="2"/>
          <w:sz w:val="32"/>
          <w:szCs w:val="32"/>
          <w:lang w:val="en-US" w:eastAsia="zh-CN" w:bidi="zh-CN"/>
        </w:rPr>
        <w:t>2024</w:t>
      </w:r>
      <w:r>
        <w:rPr>
          <w:rFonts w:hint="default" w:ascii="仿宋_GB2312" w:hAnsi="仿宋_GB2312" w:eastAsia="仿宋_GB2312" w:cs="仿宋_GB2312"/>
          <w:color w:val="auto"/>
          <w:kern w:val="2"/>
          <w:sz w:val="32"/>
          <w:szCs w:val="32"/>
          <w:lang w:val="en-US" w:eastAsia="zh-CN" w:bidi="zh-CN"/>
        </w:rPr>
        <w:t>年，</w:t>
      </w:r>
      <w:r>
        <w:rPr>
          <w:rFonts w:hint="eastAsia" w:ascii="仿宋_GB2312" w:hAnsi="仿宋_GB2312" w:eastAsia="仿宋_GB2312" w:cs="仿宋_GB2312"/>
          <w:color w:val="auto"/>
          <w:kern w:val="2"/>
          <w:sz w:val="32"/>
          <w:szCs w:val="32"/>
          <w:lang w:val="en-US" w:eastAsia="zh-CN" w:bidi="zh-CN"/>
        </w:rPr>
        <w:t>局</w:t>
      </w:r>
      <w:r>
        <w:rPr>
          <w:rFonts w:hint="default" w:ascii="仿宋_GB2312" w:hAnsi="仿宋_GB2312" w:eastAsia="仿宋_GB2312" w:cs="仿宋_GB2312"/>
          <w:color w:val="auto"/>
          <w:kern w:val="2"/>
          <w:sz w:val="32"/>
          <w:szCs w:val="32"/>
          <w:lang w:val="en-US" w:eastAsia="zh-CN" w:bidi="zh-CN"/>
        </w:rPr>
        <w:t>官网</w:t>
      </w:r>
      <w:r>
        <w:rPr>
          <w:rFonts w:hint="eastAsia" w:ascii="仿宋_GB2312" w:hAnsi="仿宋_GB2312" w:eastAsia="仿宋_GB2312" w:cs="仿宋_GB2312"/>
          <w:color w:val="auto"/>
          <w:kern w:val="2"/>
          <w:sz w:val="32"/>
          <w:szCs w:val="32"/>
          <w:lang w:val="en-US" w:eastAsia="zh-CN" w:bidi="zh-CN"/>
        </w:rPr>
        <w:t>发布信息</w:t>
      </w:r>
      <w:r>
        <w:rPr>
          <w:rFonts w:hint="eastAsia" w:ascii="Times New Roman" w:hAnsi="Times New Roman" w:eastAsia="仿宋_GB2312" w:cs="仿宋_GB2312"/>
          <w:color w:val="auto"/>
          <w:kern w:val="2"/>
          <w:sz w:val="32"/>
          <w:szCs w:val="32"/>
          <w:lang w:val="en-US" w:eastAsia="zh-CN" w:bidi="zh-CN"/>
        </w:rPr>
        <w:t>3224</w:t>
      </w:r>
      <w:r>
        <w:rPr>
          <w:rFonts w:hint="eastAsia" w:ascii="仿宋_GB2312" w:hAnsi="仿宋_GB2312" w:eastAsia="仿宋_GB2312" w:cs="仿宋_GB2312"/>
          <w:color w:val="auto"/>
          <w:kern w:val="2"/>
          <w:sz w:val="32"/>
          <w:szCs w:val="32"/>
          <w:lang w:val="en-US" w:eastAsia="zh-CN" w:bidi="zh-CN"/>
        </w:rPr>
        <w:t>条，</w:t>
      </w:r>
      <w:r>
        <w:rPr>
          <w:rFonts w:hint="default" w:ascii="仿宋_GB2312" w:hAnsi="仿宋_GB2312" w:eastAsia="仿宋_GB2312" w:cs="仿宋_GB2312"/>
          <w:color w:val="auto"/>
          <w:kern w:val="2"/>
          <w:sz w:val="32"/>
          <w:szCs w:val="32"/>
          <w:lang w:val="en-US" w:eastAsia="zh-CN" w:bidi="zh-CN"/>
        </w:rPr>
        <w:t>“</w:t>
      </w:r>
      <w:r>
        <w:rPr>
          <w:rFonts w:hint="eastAsia" w:ascii="仿宋_GB2312" w:hAnsi="仿宋_GB2312" w:eastAsia="仿宋_GB2312" w:cs="仿宋_GB2312"/>
          <w:color w:val="auto"/>
          <w:kern w:val="2"/>
          <w:sz w:val="32"/>
          <w:szCs w:val="32"/>
          <w:lang w:val="en-US" w:eastAsia="zh-CN" w:bidi="zh-CN"/>
        </w:rPr>
        <w:t>淄博行政审批服务</w:t>
      </w:r>
      <w:r>
        <w:rPr>
          <w:rFonts w:hint="default" w:ascii="仿宋_GB2312" w:hAnsi="仿宋_GB2312" w:eastAsia="仿宋_GB2312" w:cs="仿宋_GB2312"/>
          <w:color w:val="auto"/>
          <w:kern w:val="2"/>
          <w:sz w:val="32"/>
          <w:szCs w:val="32"/>
          <w:lang w:val="en-US" w:eastAsia="zh-CN" w:bidi="zh-CN"/>
        </w:rPr>
        <w:t>”微信公众号</w:t>
      </w:r>
      <w:r>
        <w:rPr>
          <w:rFonts w:hint="eastAsia" w:ascii="仿宋_GB2312" w:hAnsi="仿宋_GB2312" w:eastAsia="仿宋_GB2312" w:cs="仿宋_GB2312"/>
          <w:color w:val="auto"/>
          <w:kern w:val="2"/>
          <w:sz w:val="32"/>
          <w:szCs w:val="32"/>
          <w:lang w:val="en-US" w:eastAsia="zh-CN" w:bidi="zh-CN"/>
        </w:rPr>
        <w:t>发布信息</w:t>
      </w:r>
      <w:r>
        <w:rPr>
          <w:rFonts w:hint="eastAsia" w:ascii="Times New Roman" w:hAnsi="Times New Roman" w:eastAsia="仿宋_GB2312" w:cs="仿宋_GB2312"/>
          <w:color w:val="auto"/>
          <w:kern w:val="2"/>
          <w:sz w:val="32"/>
          <w:szCs w:val="32"/>
          <w:lang w:val="en-US" w:eastAsia="zh-CN" w:bidi="zh-CN"/>
        </w:rPr>
        <w:t>933</w:t>
      </w:r>
      <w:r>
        <w:rPr>
          <w:rFonts w:hint="eastAsia" w:ascii="仿宋_GB2312" w:hAnsi="仿宋_GB2312" w:eastAsia="仿宋_GB2312" w:cs="仿宋_GB2312"/>
          <w:color w:val="auto"/>
          <w:kern w:val="2"/>
          <w:sz w:val="32"/>
          <w:szCs w:val="32"/>
          <w:lang w:val="en-US" w:eastAsia="zh-CN" w:bidi="zh-CN"/>
        </w:rPr>
        <w:t>条，关注人数</w:t>
      </w:r>
      <w:r>
        <w:rPr>
          <w:rFonts w:hint="default" w:ascii="仿宋_GB2312" w:hAnsi="仿宋_GB2312" w:eastAsia="仿宋_GB2312" w:cs="仿宋_GB2312"/>
          <w:color w:val="auto"/>
          <w:kern w:val="2"/>
          <w:sz w:val="32"/>
          <w:szCs w:val="32"/>
          <w:lang w:val="en-US" w:eastAsia="zh-CN" w:bidi="zh-CN"/>
        </w:rPr>
        <w:t>总量达</w:t>
      </w:r>
      <w:r>
        <w:rPr>
          <w:rFonts w:hint="eastAsia" w:ascii="Times New Roman" w:hAnsi="Times New Roman" w:eastAsia="仿宋_GB2312" w:cs="仿宋_GB2312"/>
          <w:color w:val="auto"/>
          <w:kern w:val="2"/>
          <w:sz w:val="32"/>
          <w:szCs w:val="32"/>
          <w:lang w:val="en-US" w:eastAsia="zh-CN" w:bidi="zh-CN"/>
        </w:rPr>
        <w:t>9</w:t>
      </w:r>
      <w:r>
        <w:rPr>
          <w:rFonts w:hint="eastAsia" w:ascii="仿宋_GB2312" w:hAnsi="仿宋_GB2312" w:eastAsia="仿宋_GB2312" w:cs="仿宋_GB2312"/>
          <w:color w:val="auto"/>
          <w:kern w:val="2"/>
          <w:sz w:val="32"/>
          <w:szCs w:val="32"/>
          <w:lang w:val="en-US" w:eastAsia="zh-CN" w:bidi="zh-CN"/>
        </w:rPr>
        <w:t>.</w:t>
      </w:r>
      <w:r>
        <w:rPr>
          <w:rFonts w:hint="eastAsia" w:ascii="Times New Roman" w:hAnsi="Times New Roman" w:eastAsia="仿宋_GB2312" w:cs="仿宋_GB2312"/>
          <w:color w:val="auto"/>
          <w:kern w:val="2"/>
          <w:sz w:val="32"/>
          <w:szCs w:val="32"/>
          <w:lang w:val="en-US" w:eastAsia="zh-CN" w:bidi="zh-CN"/>
        </w:rPr>
        <w:t>1</w:t>
      </w:r>
      <w:r>
        <w:rPr>
          <w:rFonts w:hint="default" w:ascii="仿宋_GB2312" w:hAnsi="仿宋_GB2312" w:eastAsia="仿宋_GB2312" w:cs="仿宋_GB2312"/>
          <w:color w:val="auto"/>
          <w:kern w:val="2"/>
          <w:sz w:val="32"/>
          <w:szCs w:val="32"/>
          <w:lang w:val="en-US" w:eastAsia="zh-CN" w:bidi="zh-CN"/>
        </w:rPr>
        <w:t>万。</w:t>
      </w:r>
    </w:p>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default"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（五）</w:t>
      </w:r>
      <w:bookmarkStart w:id="0" w:name="OLE_LINK2"/>
      <w:r>
        <w:rPr>
          <w:rFonts w:hint="eastAsia" w:ascii="楷体_GB2312" w:hAnsi="楷体_GB2312" w:eastAsia="楷体_GB2312" w:cs="楷体_GB2312"/>
          <w:b w:val="0"/>
          <w:bCs w:val="0"/>
          <w:color w:val="auto"/>
          <w:kern w:val="0"/>
          <w:sz w:val="32"/>
          <w:szCs w:val="32"/>
          <w:lang w:val="en-US" w:eastAsia="zh-CN" w:bidi="ar"/>
        </w:rPr>
        <w:t>完善监督保障机制，护航信息公开运行</w:t>
      </w:r>
    </w:p>
    <w:bookmarkEnd w:id="0"/>
    <w:p>
      <w:pPr>
        <w:pStyle w:val="6"/>
        <w:keepNext w:val="0"/>
        <w:keepLines w:val="0"/>
        <w:pageBreakBefore w:val="0"/>
        <w:widowControl w:val="0"/>
        <w:kinsoku/>
        <w:wordWrap/>
        <w:overflowPunct/>
        <w:topLinePunct w:val="0"/>
        <w:autoSpaceDE/>
        <w:autoSpaceDN/>
        <w:bidi w:val="0"/>
        <w:adjustRightInd/>
        <w:snapToGrid/>
        <w:spacing w:line="560" w:lineRule="exact"/>
        <w:ind w:left="119" w:right="266" w:firstLine="640" w:firstLineChars="200"/>
        <w:textAlignment w:val="auto"/>
        <w:rPr>
          <w:rFonts w:hint="eastAsia" w:ascii="Times New Roman" w:hAnsi="Times New Roman" w:eastAsia="仿宋_GB2312" w:cs="仿宋_GB2312"/>
          <w:color w:val="auto"/>
          <w:spacing w:val="0"/>
          <w:kern w:val="0"/>
          <w:sz w:val="32"/>
          <w:szCs w:val="32"/>
          <w:lang w:val="en-US" w:eastAsia="zh-CN" w:bidi="en-US"/>
        </w:rPr>
      </w:pPr>
      <w:r>
        <w:rPr>
          <w:rFonts w:hint="eastAsia" w:ascii="Times New Roman" w:hAnsi="Times New Roman" w:eastAsia="仿宋_GB2312" w:cs="仿宋_GB2312"/>
          <w:color w:val="auto"/>
          <w:spacing w:val="0"/>
          <w:kern w:val="0"/>
          <w:sz w:val="32"/>
          <w:szCs w:val="32"/>
          <w:lang w:val="en-US" w:eastAsia="zh-CN" w:bidi="en-US"/>
        </w:rPr>
        <w:t>落实政务公开领导小组工作机制，单位主要负责同志任组长，各分管领导任副组长，根据人事调整及时更新，确保顺利发挥全面统筹、指导、协调和监督作用。</w:t>
      </w:r>
      <w:r>
        <w:rPr>
          <w:rFonts w:hint="eastAsia" w:ascii="仿宋_GB2312" w:hAnsi="仿宋_GB2312" w:eastAsia="仿宋_GB2312" w:cs="仿宋_GB2312"/>
          <w:color w:val="auto"/>
          <w:kern w:val="2"/>
          <w:sz w:val="32"/>
          <w:szCs w:val="32"/>
          <w:lang w:val="en-US" w:eastAsia="zh-CN" w:bidi="zh-CN"/>
        </w:rPr>
        <w:t>建立政务公开工作审查制度，局办公室、各责任科室对主动公开的各类信息进行审核，确保公开信息符合要求并及时予以调整完善。实行考核管理，将政务公开工作纳入</w:t>
      </w:r>
      <w:r>
        <w:rPr>
          <w:rFonts w:hint="eastAsia" w:ascii="Times New Roman" w:hAnsi="Times New Roman" w:eastAsia="仿宋_GB2312" w:cs="仿宋_GB2312"/>
          <w:color w:val="auto"/>
          <w:spacing w:val="0"/>
          <w:kern w:val="0"/>
          <w:sz w:val="32"/>
          <w:szCs w:val="32"/>
          <w:lang w:val="en-US" w:eastAsia="zh-CN" w:bidi="en-US"/>
        </w:rPr>
        <w:t>单位季度考核和年度考核，确保政务公开工作落到实处。加强人员培训，制定年度</w:t>
      </w:r>
      <w:r>
        <w:rPr>
          <w:rFonts w:hint="eastAsia" w:ascii="Times New Roman" w:hAnsi="Times New Roman" w:eastAsia="仿宋_GB2312" w:cs="仿宋_GB2312"/>
          <w:color w:val="auto"/>
          <w:spacing w:val="0"/>
          <w:kern w:val="0"/>
          <w:sz w:val="32"/>
          <w:szCs w:val="32"/>
          <w:lang w:val="en-US" w:eastAsia="zh-CN" w:bidi="en-US"/>
        </w:rPr>
        <w:fldChar w:fldCharType="begin"/>
      </w:r>
      <w:r>
        <w:rPr>
          <w:rFonts w:hint="eastAsia" w:ascii="Times New Roman" w:hAnsi="Times New Roman" w:eastAsia="仿宋_GB2312" w:cs="仿宋_GB2312"/>
          <w:color w:val="auto"/>
          <w:spacing w:val="0"/>
          <w:kern w:val="0"/>
          <w:sz w:val="32"/>
          <w:szCs w:val="32"/>
          <w:lang w:val="en-US" w:eastAsia="zh-CN" w:bidi="en-US"/>
        </w:rPr>
        <w:instrText xml:space="preserve"> HYPERLINK "http://spj.zibo.gov.cn/gongkai/channel_c_5f9fa491ab327f36e4c1306d_n_1606588115.3244/doc_654b51d28b686a725608db8a.html" \t "http://spj.zibo.gov.cn/gongkai/channel_c_5f9fa491ab327f36e4c1306d_n_1606588115.3244/_blank" </w:instrText>
      </w:r>
      <w:r>
        <w:rPr>
          <w:rFonts w:hint="eastAsia" w:ascii="Times New Roman" w:hAnsi="Times New Roman" w:eastAsia="仿宋_GB2312" w:cs="仿宋_GB2312"/>
          <w:color w:val="auto"/>
          <w:spacing w:val="0"/>
          <w:kern w:val="0"/>
          <w:sz w:val="32"/>
          <w:szCs w:val="32"/>
          <w:lang w:val="en-US" w:eastAsia="zh-CN" w:bidi="en-US"/>
        </w:rPr>
        <w:fldChar w:fldCharType="separate"/>
      </w:r>
      <w:r>
        <w:rPr>
          <w:rFonts w:hint="eastAsia" w:ascii="Times New Roman" w:hAnsi="Times New Roman" w:eastAsia="仿宋_GB2312" w:cs="仿宋_GB2312"/>
          <w:color w:val="auto"/>
          <w:spacing w:val="0"/>
          <w:kern w:val="0"/>
          <w:sz w:val="32"/>
          <w:szCs w:val="32"/>
          <w:lang w:val="en-US" w:eastAsia="zh-CN" w:bidi="en-US"/>
        </w:rPr>
        <w:t>政务公开培训计划</w:t>
      </w:r>
      <w:r>
        <w:rPr>
          <w:rFonts w:hint="eastAsia" w:ascii="Times New Roman" w:hAnsi="Times New Roman" w:eastAsia="仿宋_GB2312" w:cs="仿宋_GB2312"/>
          <w:color w:val="auto"/>
          <w:spacing w:val="0"/>
          <w:kern w:val="0"/>
          <w:sz w:val="32"/>
          <w:szCs w:val="32"/>
          <w:lang w:val="en-US" w:eastAsia="zh-CN" w:bidi="en-US"/>
        </w:rPr>
        <w:fldChar w:fldCharType="end"/>
      </w:r>
      <w:r>
        <w:rPr>
          <w:rFonts w:hint="eastAsia" w:ascii="Times New Roman" w:hAnsi="Times New Roman" w:eastAsia="仿宋_GB2312" w:cs="仿宋_GB2312"/>
          <w:color w:val="auto"/>
          <w:spacing w:val="0"/>
          <w:kern w:val="0"/>
          <w:sz w:val="32"/>
          <w:szCs w:val="32"/>
          <w:lang w:val="en-US" w:eastAsia="zh-CN" w:bidi="en-US"/>
        </w:rPr>
        <w:t>，全年共</w:t>
      </w:r>
      <w:r>
        <w:rPr>
          <w:rFonts w:hint="eastAsia" w:ascii="Times New Roman" w:hAnsi="Times New Roman" w:eastAsia="仿宋_GB2312" w:cs="仿宋_GB2312"/>
          <w:color w:val="auto"/>
          <w:spacing w:val="0"/>
          <w:kern w:val="0"/>
          <w:sz w:val="32"/>
          <w:szCs w:val="32"/>
          <w:lang w:val="en-US" w:eastAsia="zh-CN" w:bidi="en-US"/>
        </w:rPr>
        <w:fldChar w:fldCharType="begin"/>
      </w:r>
      <w:r>
        <w:rPr>
          <w:rFonts w:hint="eastAsia" w:ascii="Times New Roman" w:hAnsi="Times New Roman" w:eastAsia="仿宋_GB2312" w:cs="仿宋_GB2312"/>
          <w:color w:val="auto"/>
          <w:spacing w:val="0"/>
          <w:kern w:val="0"/>
          <w:sz w:val="32"/>
          <w:szCs w:val="32"/>
          <w:lang w:val="en-US" w:eastAsia="zh-CN" w:bidi="en-US"/>
        </w:rPr>
        <w:instrText xml:space="preserve"> HYPERLINK "http://spj.zibo.gov.cn/gongkai/channel_c_5f9fa491ab327f36e4c1306d_n_1606588115.3244/doc_6520fb8e5caf52a64026a1b5.html" \t "http://spj.zibo.gov.cn/gongkai/channel_c_5f9fa491ab327f36e4c1306d_n_1606588115.3244/_blank" </w:instrText>
      </w:r>
      <w:r>
        <w:rPr>
          <w:rFonts w:hint="eastAsia" w:ascii="Times New Roman" w:hAnsi="Times New Roman" w:eastAsia="仿宋_GB2312" w:cs="仿宋_GB2312"/>
          <w:color w:val="auto"/>
          <w:spacing w:val="0"/>
          <w:kern w:val="0"/>
          <w:sz w:val="32"/>
          <w:szCs w:val="32"/>
          <w:lang w:val="en-US" w:eastAsia="zh-CN" w:bidi="en-US"/>
        </w:rPr>
        <w:fldChar w:fldCharType="separate"/>
      </w:r>
      <w:r>
        <w:rPr>
          <w:rFonts w:hint="eastAsia" w:ascii="Times New Roman" w:hAnsi="Times New Roman" w:eastAsia="仿宋_GB2312" w:cs="仿宋_GB2312"/>
          <w:color w:val="auto"/>
          <w:spacing w:val="0"/>
          <w:kern w:val="0"/>
          <w:sz w:val="32"/>
          <w:szCs w:val="32"/>
          <w:lang w:val="en-US" w:eastAsia="zh-CN" w:bidi="en-US"/>
        </w:rPr>
        <w:t>举办2次业务培训，</w:t>
      </w:r>
      <w:r>
        <w:rPr>
          <w:rFonts w:hint="eastAsia" w:ascii="Times New Roman" w:hAnsi="Times New Roman" w:eastAsia="仿宋_GB2312" w:cs="仿宋_GB2312"/>
          <w:color w:val="auto"/>
          <w:spacing w:val="0"/>
          <w:kern w:val="0"/>
          <w:sz w:val="32"/>
          <w:szCs w:val="32"/>
          <w:lang w:val="en-US" w:eastAsia="zh-CN" w:bidi="en-US"/>
        </w:rPr>
        <w:fldChar w:fldCharType="end"/>
      </w:r>
      <w:r>
        <w:rPr>
          <w:rFonts w:hint="eastAsia" w:ascii="Times New Roman" w:hAnsi="Times New Roman" w:eastAsia="仿宋_GB2312" w:cs="仿宋_GB2312"/>
          <w:color w:val="auto"/>
          <w:spacing w:val="0"/>
          <w:kern w:val="0"/>
          <w:sz w:val="32"/>
          <w:szCs w:val="32"/>
          <w:lang w:val="en-US" w:eastAsia="zh-CN" w:bidi="en-US"/>
        </w:rPr>
        <w:t>进一步强化干部政务公开意识，提升政务公开的能力和水平。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0000FF"/>
          <w:spacing w:val="0"/>
          <w:sz w:val="32"/>
          <w:szCs w:val="32"/>
        </w:rPr>
      </w:pPr>
      <w:r>
        <w:rPr>
          <w:rFonts w:hint="eastAsia" w:ascii="黑体" w:hAnsi="黑体" w:eastAsia="黑体" w:cs="黑体"/>
          <w:b w:val="0"/>
          <w:bCs/>
          <w:i w:val="0"/>
          <w:caps w:val="0"/>
          <w:color w:val="0000FF"/>
          <w:spacing w:val="0"/>
          <w:sz w:val="32"/>
          <w:szCs w:val="32"/>
          <w:shd w:val="clear" w:fill="FFFFFF"/>
        </w:rPr>
        <w:t>二、主动公开政府信息情况</w:t>
      </w:r>
    </w:p>
    <w:tbl>
      <w:tblPr>
        <w:tblStyle w:val="1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FF"/>
                <w:kern w:val="0"/>
                <w:szCs w:val="21"/>
              </w:rPr>
            </w:pPr>
            <w:r>
              <w:rPr>
                <w:rFonts w:hint="eastAsia" w:ascii="黑体" w:hAnsi="黑体" w:eastAsia="黑体" w:cs="宋体"/>
                <w:color w:val="0000FF"/>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FF"/>
                <w:kern w:val="0"/>
                <w:szCs w:val="21"/>
              </w:rPr>
            </w:pPr>
            <w:r>
              <w:rPr>
                <w:rFonts w:hint="eastAsia" w:ascii="仿宋_GB2312" w:hAnsi="宋体" w:eastAsia="仿宋_GB2312" w:cs="宋体"/>
                <w:color w:val="0000FF"/>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FF"/>
                <w:kern w:val="0"/>
                <w:szCs w:val="21"/>
              </w:rPr>
            </w:pPr>
            <w:r>
              <w:rPr>
                <w:rFonts w:hint="eastAsia" w:ascii="仿宋_GB2312" w:hAnsi="宋体" w:eastAsia="仿宋_GB2312" w:cs="宋体"/>
                <w:color w:val="0000FF"/>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FF"/>
                <w:kern w:val="0"/>
                <w:szCs w:val="21"/>
              </w:rPr>
            </w:pPr>
            <w:r>
              <w:rPr>
                <w:rFonts w:hint="eastAsia" w:ascii="黑体" w:hAnsi="黑体" w:eastAsia="黑体" w:cs="宋体"/>
                <w:color w:val="0000FF"/>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FF"/>
                <w:kern w:val="0"/>
                <w:szCs w:val="21"/>
              </w:rPr>
            </w:pPr>
            <w:r>
              <w:rPr>
                <w:rFonts w:hint="eastAsia" w:ascii="仿宋_GB2312" w:hAnsi="宋体" w:eastAsia="仿宋_GB2312" w:cs="宋体"/>
                <w:color w:val="0000FF"/>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FF"/>
                <w:kern w:val="0"/>
                <w:szCs w:val="21"/>
                <w:lang w:val="en-US" w:eastAsia="zh-CN"/>
              </w:rPr>
            </w:pPr>
            <w:r>
              <w:rPr>
                <w:rFonts w:hint="eastAsia" w:ascii="Times New Roman" w:hAnsi="Times New Roman" w:eastAsia="仿宋_GB2312" w:cs="宋体"/>
                <w:color w:val="0000FF"/>
                <w:kern w:val="0"/>
                <w:szCs w:val="21"/>
                <w:lang w:val="en-US" w:eastAsia="zh-CN"/>
              </w:rPr>
              <w:t>11509</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FF"/>
                <w:kern w:val="0"/>
                <w:szCs w:val="21"/>
              </w:rPr>
            </w:pPr>
            <w:r>
              <w:rPr>
                <w:rFonts w:hint="eastAsia" w:ascii="黑体" w:hAnsi="黑体" w:eastAsia="黑体" w:cs="宋体"/>
                <w:color w:val="0000FF"/>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FF"/>
                <w:kern w:val="0"/>
                <w:szCs w:val="21"/>
              </w:rPr>
            </w:pPr>
            <w:r>
              <w:rPr>
                <w:rFonts w:hint="eastAsia" w:ascii="仿宋_GB2312" w:hAnsi="宋体" w:eastAsia="仿宋_GB2312" w:cs="宋体"/>
                <w:color w:val="0000FF"/>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FF"/>
                <w:kern w:val="0"/>
                <w:szCs w:val="21"/>
                <w:lang w:eastAsia="zh-CN"/>
              </w:rPr>
            </w:pPr>
            <w:r>
              <w:rPr>
                <w:rFonts w:hint="eastAsia" w:ascii="Times New Roman" w:hAnsi="Times New Roman" w:eastAsia="仿宋_GB2312" w:cs="Calibri"/>
                <w:color w:val="0000FF"/>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FF"/>
                <w:kern w:val="0"/>
                <w:szCs w:val="21"/>
              </w:rPr>
            </w:pPr>
            <w:r>
              <w:rPr>
                <w:rFonts w:hint="eastAsia" w:ascii="仿宋_GB2312" w:hAnsi="宋体" w:eastAsia="仿宋_GB2312" w:cs="宋体"/>
                <w:color w:val="0000FF"/>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FF"/>
                <w:kern w:val="0"/>
                <w:szCs w:val="21"/>
                <w:lang w:eastAsia="zh-CN"/>
              </w:rPr>
            </w:pPr>
            <w:r>
              <w:rPr>
                <w:rFonts w:hint="eastAsia" w:ascii="Times New Roman" w:hAnsi="Times New Roman" w:eastAsia="仿宋_GB2312" w:cs="Calibri"/>
                <w:color w:val="0000FF"/>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FF"/>
                <w:kern w:val="0"/>
                <w:szCs w:val="21"/>
              </w:rPr>
            </w:pPr>
            <w:r>
              <w:rPr>
                <w:rFonts w:hint="eastAsia" w:ascii="黑体" w:hAnsi="黑体" w:eastAsia="黑体" w:cs="宋体"/>
                <w:color w:val="0000FF"/>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FF"/>
                <w:kern w:val="0"/>
                <w:szCs w:val="21"/>
              </w:rPr>
            </w:pPr>
            <w:r>
              <w:rPr>
                <w:rFonts w:hint="eastAsia" w:ascii="仿宋_GB2312" w:hAnsi="宋体" w:eastAsia="仿宋_GB2312" w:cs="宋体"/>
                <w:color w:val="0000FF"/>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FF"/>
                <w:kern w:val="0"/>
                <w:szCs w:val="21"/>
              </w:rPr>
            </w:pPr>
            <w:r>
              <w:rPr>
                <w:rFonts w:hint="eastAsia" w:ascii="仿宋_GB2312" w:hAnsi="宋体" w:eastAsia="仿宋_GB2312" w:cs="宋体"/>
                <w:color w:val="0000FF"/>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FF"/>
                <w:kern w:val="0"/>
                <w:szCs w:val="21"/>
                <w:lang w:eastAsia="zh-CN"/>
              </w:rPr>
            </w:pPr>
            <w:r>
              <w:rPr>
                <w:rFonts w:hint="eastAsia" w:ascii="Times New Roman" w:hAnsi="Times New Roman" w:eastAsia="仿宋_GB2312" w:cs="Calibri"/>
                <w:color w:val="0000FF"/>
                <w:kern w:val="0"/>
                <w:szCs w:val="21"/>
                <w:lang w:val="en-US" w:eastAsia="zh-CN"/>
              </w:rPr>
              <w:t>0</w:t>
            </w:r>
          </w:p>
        </w:tc>
      </w:tr>
    </w:tbl>
    <w:p>
      <w:pPr>
        <w:rPr>
          <w:rFonts w:hint="eastAsia" w:ascii="黑体" w:hAnsi="黑体" w:eastAsia="黑体" w:cs="黑体"/>
          <w:b w:val="0"/>
          <w:bCs/>
          <w:i w:val="0"/>
          <w:caps w:val="0"/>
          <w:color w:val="0000FF"/>
          <w:spacing w:val="0"/>
          <w:kern w:val="0"/>
          <w:sz w:val="32"/>
          <w:szCs w:val="32"/>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黑体" w:hAnsi="黑体" w:eastAsia="黑体" w:cs="黑体"/>
          <w:b w:val="0"/>
          <w:bCs/>
          <w:i w:val="0"/>
          <w:caps w:val="0"/>
          <w:color w:val="0000FF"/>
          <w:spacing w:val="0"/>
          <w:kern w:val="0"/>
          <w:sz w:val="32"/>
          <w:szCs w:val="32"/>
          <w:shd w:val="clear" w:fill="FFFFFF"/>
          <w:lang w:val="en-US" w:eastAsia="zh-CN" w:bidi="ar"/>
        </w:rPr>
      </w:pPr>
      <w:r>
        <w:rPr>
          <w:rFonts w:hint="eastAsia" w:ascii="黑体" w:hAnsi="黑体" w:eastAsia="黑体" w:cs="黑体"/>
          <w:b w:val="0"/>
          <w:bCs/>
          <w:i w:val="0"/>
          <w:caps w:val="0"/>
          <w:color w:val="0000FF"/>
          <w:spacing w:val="0"/>
          <w:kern w:val="0"/>
          <w:sz w:val="32"/>
          <w:szCs w:val="32"/>
          <w:shd w:val="clear" w:fill="FFFFFF"/>
          <w:lang w:val="en-US" w:eastAsia="zh-CN" w:bidi="ar"/>
        </w:rPr>
        <w:t>三、收到和处理政府信息公开申请情况</w:t>
      </w:r>
    </w:p>
    <w:tbl>
      <w:tblPr>
        <w:tblStyle w:val="1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0000FF"/>
                <w:kern w:val="0"/>
                <w:szCs w:val="21"/>
              </w:rPr>
            </w:pPr>
            <w:r>
              <w:rPr>
                <w:rFonts w:hint="eastAsia" w:ascii="楷体_GB2312" w:hAnsi="黑体" w:eastAsia="楷体_GB2312"/>
                <w:color w:val="0000FF"/>
                <w:kern w:val="0"/>
                <w:szCs w:val="21"/>
              </w:rPr>
              <w:t>（本列数据的勾稽关系为：第一项加第二项之和，</w:t>
            </w:r>
          </w:p>
          <w:p>
            <w:pPr>
              <w:widowControl/>
              <w:jc w:val="center"/>
              <w:rPr>
                <w:rFonts w:ascii="仿宋_GB2312" w:hAnsi="Times New Roman" w:eastAsia="仿宋_GB2312"/>
                <w:color w:val="0000FF"/>
                <w:szCs w:val="21"/>
              </w:rPr>
            </w:pPr>
            <w:r>
              <w:rPr>
                <w:rFonts w:hint="eastAsia" w:ascii="楷体_GB2312" w:hAnsi="黑体" w:eastAsia="楷体_GB2312"/>
                <w:color w:val="0000FF"/>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color w:val="0000FF"/>
                <w:szCs w:val="21"/>
              </w:rPr>
            </w:pPr>
            <w:r>
              <w:rPr>
                <w:rFonts w:hint="eastAsia" w:ascii="黑体" w:hAnsi="黑体" w:eastAsia="黑体"/>
                <w:color w:val="0000FF"/>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0000FF"/>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olor w:val="0000FF"/>
                <w:szCs w:val="21"/>
              </w:rPr>
            </w:pPr>
            <w:r>
              <w:rPr>
                <w:rFonts w:hint="eastAsia" w:ascii="黑体" w:hAnsi="黑体" w:eastAsia="黑体"/>
                <w:color w:val="0000FF"/>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0000FF"/>
                <w:szCs w:val="21"/>
              </w:rPr>
            </w:pPr>
            <w:r>
              <w:rPr>
                <w:rFonts w:hint="eastAsia" w:ascii="黑体" w:hAnsi="黑体" w:eastAsia="黑体"/>
                <w:color w:val="0000FF"/>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color w:val="0000FF"/>
                <w:szCs w:val="21"/>
              </w:rPr>
            </w:pPr>
            <w:r>
              <w:rPr>
                <w:rFonts w:hint="eastAsia" w:ascii="黑体" w:hAnsi="黑体" w:eastAsia="黑体"/>
                <w:color w:val="0000FF"/>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0000FF"/>
                <w:szCs w:val="21"/>
              </w:rPr>
            </w:pPr>
          </w:p>
        </w:tc>
        <w:tc>
          <w:tcPr>
            <w:tcW w:w="747" w:type="dxa"/>
            <w:vMerge w:val="continue"/>
            <w:shd w:val="clear" w:color="auto" w:fill="auto"/>
            <w:tcMar>
              <w:left w:w="108" w:type="dxa"/>
              <w:right w:w="108" w:type="dxa"/>
            </w:tcMar>
            <w:vAlign w:val="center"/>
          </w:tcPr>
          <w:p>
            <w:pPr>
              <w:jc w:val="center"/>
              <w:rPr>
                <w:rFonts w:ascii="黑体" w:hAnsi="黑体" w:eastAsia="黑体"/>
                <w:color w:val="0000FF"/>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0000FF"/>
                <w:szCs w:val="21"/>
              </w:rPr>
            </w:pPr>
            <w:r>
              <w:rPr>
                <w:rFonts w:hint="eastAsia" w:ascii="黑体" w:hAnsi="黑体" w:eastAsia="黑体"/>
                <w:color w:val="0000FF"/>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0000FF"/>
                <w:szCs w:val="21"/>
              </w:rPr>
            </w:pPr>
            <w:r>
              <w:rPr>
                <w:rFonts w:hint="eastAsia" w:ascii="黑体" w:hAnsi="黑体" w:eastAsia="黑体"/>
                <w:color w:val="0000FF"/>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0000FF"/>
                <w:szCs w:val="21"/>
              </w:rPr>
            </w:pPr>
            <w:r>
              <w:rPr>
                <w:rFonts w:hint="eastAsia" w:ascii="黑体" w:hAnsi="黑体" w:eastAsia="黑体"/>
                <w:color w:val="0000FF"/>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0000FF"/>
                <w:szCs w:val="21"/>
              </w:rPr>
            </w:pPr>
            <w:r>
              <w:rPr>
                <w:rFonts w:hint="eastAsia" w:ascii="黑体" w:hAnsi="黑体" w:eastAsia="黑体"/>
                <w:color w:val="0000FF"/>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0000FF"/>
                <w:szCs w:val="21"/>
              </w:rPr>
            </w:pPr>
            <w:r>
              <w:rPr>
                <w:rFonts w:hint="eastAsia" w:ascii="黑体" w:hAnsi="黑体" w:eastAsia="黑体"/>
                <w:color w:val="0000FF"/>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color w:val="0000FF"/>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0000FF"/>
                <w:szCs w:val="21"/>
              </w:rPr>
            </w:pPr>
            <w:r>
              <w:rPr>
                <w:rFonts w:hint="eastAsia" w:ascii="黑体" w:hAnsi="黑体" w:eastAsia="黑体"/>
                <w:color w:val="0000FF"/>
                <w:kern w:val="0"/>
                <w:szCs w:val="21"/>
              </w:rPr>
              <w:t>一、</w:t>
            </w:r>
            <w:bookmarkStart w:id="1" w:name="_Hlk66973412"/>
            <w:r>
              <w:rPr>
                <w:rFonts w:hint="eastAsia" w:ascii="黑体" w:hAnsi="黑体" w:eastAsia="黑体"/>
                <w:color w:val="0000FF"/>
                <w:kern w:val="0"/>
                <w:szCs w:val="21"/>
              </w:rPr>
              <w:t>本年新收政府信息公开申请数量</w:t>
            </w:r>
            <w:bookmarkEnd w:id="1"/>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7</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0000FF"/>
                <w:szCs w:val="21"/>
              </w:rPr>
            </w:pPr>
            <w:r>
              <w:rPr>
                <w:rFonts w:hint="eastAsia" w:ascii="黑体" w:hAnsi="黑体" w:eastAsia="黑体"/>
                <w:color w:val="0000FF"/>
                <w:kern w:val="0"/>
                <w:szCs w:val="21"/>
              </w:rPr>
              <w:t>二、上年结转政府信息公开申请数量</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default"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default"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0000FF"/>
                <w:szCs w:val="21"/>
              </w:rPr>
            </w:pPr>
            <w:r>
              <w:rPr>
                <w:rFonts w:hint="eastAsia" w:ascii="黑体" w:hAnsi="黑体" w:eastAsia="黑体"/>
                <w:color w:val="0000FF"/>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0000FF"/>
                <w:szCs w:val="21"/>
              </w:rPr>
            </w:pPr>
            <w:r>
              <w:rPr>
                <w:rFonts w:hint="eastAsia" w:ascii="黑体" w:hAnsi="黑体" w:eastAsia="黑体"/>
                <w:color w:val="0000FF"/>
                <w:kern w:val="0"/>
                <w:szCs w:val="21"/>
              </w:rPr>
              <w:t>（一）予以公开</w:t>
            </w:r>
          </w:p>
        </w:tc>
        <w:tc>
          <w:tcPr>
            <w:tcW w:w="752"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1</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3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6"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0000FF"/>
                <w:szCs w:val="21"/>
              </w:rPr>
            </w:pPr>
            <w:r>
              <w:rPr>
                <w:rFonts w:hint="eastAsia" w:ascii="黑体" w:hAnsi="黑体" w:eastAsia="黑体"/>
                <w:color w:val="0000FF"/>
                <w:kern w:val="0"/>
                <w:szCs w:val="21"/>
              </w:rPr>
              <w:t>（二）部分公开（</w:t>
            </w:r>
            <w:bookmarkStart w:id="2" w:name="_Hlk66973981"/>
            <w:r>
              <w:rPr>
                <w:rFonts w:hint="eastAsia" w:ascii="黑体" w:hAnsi="黑体" w:eastAsia="黑体"/>
                <w:color w:val="0000FF"/>
                <w:kern w:val="0"/>
                <w:szCs w:val="21"/>
              </w:rPr>
              <w:t>区分处理的，只计这一情形，不计其他情形</w:t>
            </w:r>
            <w:bookmarkEnd w:id="2"/>
            <w:r>
              <w:rPr>
                <w:rFonts w:hint="eastAsia" w:ascii="黑体" w:hAnsi="黑体" w:eastAsia="黑体"/>
                <w:color w:val="0000FF"/>
                <w:kern w:val="0"/>
                <w:szCs w:val="21"/>
              </w:rPr>
              <w:t>）</w:t>
            </w:r>
          </w:p>
        </w:tc>
        <w:tc>
          <w:tcPr>
            <w:tcW w:w="752"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3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6"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FF"/>
                <w:szCs w:val="21"/>
              </w:rPr>
            </w:pPr>
            <w:r>
              <w:rPr>
                <w:rFonts w:hint="eastAsia" w:ascii="黑体" w:hAnsi="黑体" w:eastAsia="黑体"/>
                <w:color w:val="0000FF"/>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1</w:t>
            </w:r>
            <w:r>
              <w:rPr>
                <w:rFonts w:hint="eastAsia" w:ascii="仿宋_GB2312" w:hAnsi="黑体" w:eastAsia="仿宋_GB2312"/>
                <w:color w:val="0000FF"/>
                <w:kern w:val="0"/>
                <w:szCs w:val="21"/>
              </w:rPr>
              <w:t>.属于国家秘密</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2</w:t>
            </w:r>
            <w:r>
              <w:rPr>
                <w:rFonts w:hint="eastAsia" w:ascii="仿宋_GB2312" w:hAnsi="黑体" w:eastAsia="仿宋_GB2312"/>
                <w:color w:val="0000FF"/>
                <w:kern w:val="0"/>
                <w:szCs w:val="21"/>
              </w:rPr>
              <w:t>.</w:t>
            </w:r>
            <w:bookmarkStart w:id="3" w:name="_Hlk66974104"/>
            <w:r>
              <w:rPr>
                <w:rFonts w:hint="eastAsia" w:ascii="仿宋_GB2312" w:hAnsi="黑体" w:eastAsia="仿宋_GB2312"/>
                <w:color w:val="0000FF"/>
                <w:kern w:val="0"/>
                <w:szCs w:val="21"/>
              </w:rPr>
              <w:t>其他法律行政法规禁止公开</w:t>
            </w:r>
            <w:bookmarkEnd w:id="3"/>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3</w:t>
            </w:r>
            <w:r>
              <w:rPr>
                <w:rFonts w:hint="eastAsia" w:ascii="仿宋_GB2312" w:hAnsi="黑体" w:eastAsia="仿宋_GB2312"/>
                <w:color w:val="0000FF"/>
                <w:kern w:val="0"/>
                <w:szCs w:val="21"/>
              </w:rPr>
              <w:t>.危及“三安全一稳定”</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4</w:t>
            </w:r>
            <w:r>
              <w:rPr>
                <w:rFonts w:hint="eastAsia" w:ascii="仿宋_GB2312" w:hAnsi="黑体" w:eastAsia="仿宋_GB2312"/>
                <w:color w:val="0000FF"/>
                <w:kern w:val="0"/>
                <w:szCs w:val="21"/>
              </w:rPr>
              <w:t>.</w:t>
            </w:r>
            <w:bookmarkStart w:id="4" w:name="_Hlk66974290"/>
            <w:r>
              <w:rPr>
                <w:rFonts w:hint="eastAsia" w:ascii="仿宋_GB2312" w:hAnsi="黑体" w:eastAsia="仿宋_GB2312"/>
                <w:color w:val="0000FF"/>
                <w:kern w:val="0"/>
                <w:szCs w:val="21"/>
              </w:rPr>
              <w:t>保护第三方合法权益</w:t>
            </w:r>
            <w:bookmarkEnd w:id="4"/>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5</w:t>
            </w:r>
            <w:r>
              <w:rPr>
                <w:rFonts w:hint="eastAsia" w:ascii="仿宋_GB2312" w:hAnsi="黑体" w:eastAsia="仿宋_GB2312"/>
                <w:color w:val="0000FF"/>
                <w:kern w:val="0"/>
                <w:szCs w:val="21"/>
              </w:rPr>
              <w:t>.属于三类内部事务信息</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6</w:t>
            </w:r>
            <w:r>
              <w:rPr>
                <w:rFonts w:hint="eastAsia" w:ascii="仿宋_GB2312" w:hAnsi="黑体" w:eastAsia="仿宋_GB2312"/>
                <w:color w:val="0000FF"/>
                <w:kern w:val="0"/>
                <w:szCs w:val="21"/>
              </w:rPr>
              <w:t>.</w:t>
            </w:r>
            <w:bookmarkStart w:id="5" w:name="_Hlk66974555"/>
            <w:r>
              <w:rPr>
                <w:rFonts w:hint="eastAsia" w:ascii="仿宋_GB2312" w:hAnsi="黑体" w:eastAsia="仿宋_GB2312"/>
                <w:color w:val="0000FF"/>
                <w:kern w:val="0"/>
                <w:szCs w:val="21"/>
              </w:rPr>
              <w:t>属于四类过程性信息</w:t>
            </w:r>
            <w:bookmarkEnd w:id="5"/>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7</w:t>
            </w:r>
            <w:r>
              <w:rPr>
                <w:rFonts w:hint="eastAsia" w:ascii="仿宋_GB2312" w:hAnsi="黑体" w:eastAsia="仿宋_GB2312"/>
                <w:color w:val="0000FF"/>
                <w:kern w:val="0"/>
                <w:szCs w:val="21"/>
              </w:rPr>
              <w:t>.属于行政执法案卷</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8</w:t>
            </w:r>
            <w:r>
              <w:rPr>
                <w:rFonts w:hint="eastAsia" w:ascii="仿宋_GB2312" w:hAnsi="黑体" w:eastAsia="仿宋_GB2312"/>
                <w:color w:val="0000FF"/>
                <w:kern w:val="0"/>
                <w:szCs w:val="21"/>
              </w:rPr>
              <w:t>.</w:t>
            </w:r>
            <w:bookmarkStart w:id="6" w:name="_Hlk66975211"/>
            <w:r>
              <w:rPr>
                <w:rFonts w:hint="eastAsia" w:ascii="仿宋_GB2312" w:hAnsi="黑体" w:eastAsia="仿宋_GB2312"/>
                <w:color w:val="0000FF"/>
                <w:kern w:val="0"/>
                <w:szCs w:val="21"/>
              </w:rPr>
              <w:t>属于行政查询事项</w:t>
            </w:r>
            <w:bookmarkEnd w:id="6"/>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FF"/>
                <w:szCs w:val="21"/>
              </w:rPr>
            </w:pPr>
            <w:r>
              <w:rPr>
                <w:rFonts w:hint="eastAsia" w:ascii="黑体" w:hAnsi="黑体" w:eastAsia="黑体"/>
                <w:color w:val="0000FF"/>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1</w:t>
            </w:r>
            <w:r>
              <w:rPr>
                <w:rFonts w:hint="eastAsia" w:ascii="仿宋_GB2312" w:hAnsi="黑体" w:eastAsia="仿宋_GB2312"/>
                <w:color w:val="0000FF"/>
                <w:kern w:val="0"/>
                <w:szCs w:val="21"/>
              </w:rPr>
              <w:t>.本机关不掌握相关政府信息</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6</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2</w:t>
            </w:r>
            <w:r>
              <w:rPr>
                <w:rFonts w:hint="eastAsia" w:ascii="仿宋_GB2312" w:hAnsi="黑体" w:eastAsia="仿宋_GB2312"/>
                <w:color w:val="0000FF"/>
                <w:kern w:val="0"/>
                <w:szCs w:val="21"/>
              </w:rPr>
              <w:t>.</w:t>
            </w:r>
            <w:bookmarkStart w:id="7" w:name="_Hlk66975392"/>
            <w:r>
              <w:rPr>
                <w:rFonts w:hint="eastAsia" w:ascii="仿宋_GB2312" w:hAnsi="黑体" w:eastAsia="仿宋_GB2312"/>
                <w:color w:val="0000FF"/>
                <w:kern w:val="0"/>
                <w:szCs w:val="21"/>
              </w:rPr>
              <w:t>没有现成信息需要另行制作</w:t>
            </w:r>
            <w:bookmarkEnd w:id="7"/>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3</w:t>
            </w:r>
            <w:r>
              <w:rPr>
                <w:rFonts w:hint="eastAsia" w:ascii="仿宋_GB2312" w:hAnsi="黑体" w:eastAsia="仿宋_GB2312"/>
                <w:color w:val="0000FF"/>
                <w:kern w:val="0"/>
                <w:szCs w:val="21"/>
              </w:rPr>
              <w:t>.</w:t>
            </w:r>
            <w:bookmarkStart w:id="8" w:name="_Hlk66975466"/>
            <w:r>
              <w:rPr>
                <w:rFonts w:hint="eastAsia" w:ascii="仿宋_GB2312" w:hAnsi="黑体" w:eastAsia="仿宋_GB2312"/>
                <w:color w:val="0000FF"/>
                <w:kern w:val="0"/>
                <w:szCs w:val="21"/>
              </w:rPr>
              <w:t>补正后申请内容仍不明确</w:t>
            </w:r>
            <w:bookmarkEnd w:id="8"/>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0000FF"/>
                <w:szCs w:val="21"/>
              </w:rPr>
            </w:pPr>
            <w:r>
              <w:rPr>
                <w:rFonts w:hint="eastAsia" w:ascii="黑体" w:hAnsi="黑体" w:eastAsia="黑体"/>
                <w:color w:val="0000FF"/>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1</w:t>
            </w:r>
            <w:r>
              <w:rPr>
                <w:rFonts w:hint="eastAsia" w:ascii="仿宋_GB2312" w:hAnsi="黑体" w:eastAsia="仿宋_GB2312"/>
                <w:color w:val="0000FF"/>
                <w:kern w:val="0"/>
                <w:szCs w:val="21"/>
              </w:rPr>
              <w:t>.</w:t>
            </w:r>
            <w:bookmarkStart w:id="9" w:name="_Hlk66975537"/>
            <w:r>
              <w:rPr>
                <w:rFonts w:hint="eastAsia" w:ascii="仿宋_GB2312" w:hAnsi="黑体" w:eastAsia="仿宋_GB2312"/>
                <w:color w:val="0000FF"/>
                <w:kern w:val="0"/>
                <w:szCs w:val="21"/>
              </w:rPr>
              <w:t>信访举报投诉类申请</w:t>
            </w:r>
            <w:bookmarkEnd w:id="9"/>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2</w:t>
            </w:r>
            <w:r>
              <w:rPr>
                <w:rFonts w:hint="eastAsia" w:ascii="仿宋_GB2312" w:hAnsi="黑体" w:eastAsia="仿宋_GB2312"/>
                <w:color w:val="0000FF"/>
                <w:kern w:val="0"/>
                <w:szCs w:val="21"/>
              </w:rPr>
              <w:t>.重复申请</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szCs w:val="21"/>
              </w:rPr>
            </w:pPr>
            <w:r>
              <w:rPr>
                <w:rFonts w:hint="eastAsia" w:ascii="Times New Roman" w:hAnsi="Times New Roman" w:eastAsia="仿宋_GB2312"/>
                <w:color w:val="0000FF"/>
                <w:kern w:val="0"/>
                <w:szCs w:val="21"/>
              </w:rPr>
              <w:t>3</w:t>
            </w:r>
            <w:r>
              <w:rPr>
                <w:rFonts w:hint="eastAsia" w:ascii="仿宋_GB2312" w:hAnsi="黑体" w:eastAsia="仿宋_GB2312"/>
                <w:color w:val="0000FF"/>
                <w:kern w:val="0"/>
                <w:szCs w:val="21"/>
              </w:rPr>
              <w:t>.要求提供公开出版物</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0000FF"/>
                <w:szCs w:val="21"/>
              </w:rPr>
            </w:pPr>
            <w:r>
              <w:rPr>
                <w:rFonts w:hint="eastAsia" w:ascii="Times New Roman" w:hAnsi="Times New Roman" w:eastAsia="仿宋_GB2312"/>
                <w:color w:val="0000FF"/>
                <w:kern w:val="0"/>
                <w:szCs w:val="21"/>
              </w:rPr>
              <w:t>4</w:t>
            </w:r>
            <w:r>
              <w:rPr>
                <w:rFonts w:hint="eastAsia" w:ascii="仿宋_GB2312" w:hAnsi="黑体" w:eastAsia="仿宋_GB2312"/>
                <w:color w:val="0000FF"/>
                <w:kern w:val="0"/>
                <w:szCs w:val="21"/>
              </w:rPr>
              <w:t>.无正当理由大量反复申请</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0000FF"/>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0000FF"/>
                <w:kern w:val="0"/>
                <w:szCs w:val="21"/>
              </w:rPr>
            </w:pPr>
            <w:r>
              <w:rPr>
                <w:rFonts w:hint="eastAsia" w:ascii="Times New Roman" w:hAnsi="Times New Roman" w:eastAsia="仿宋_GB2312"/>
                <w:color w:val="0000FF"/>
                <w:kern w:val="0"/>
                <w:szCs w:val="21"/>
              </w:rPr>
              <w:t>5</w:t>
            </w:r>
            <w:r>
              <w:rPr>
                <w:rFonts w:hint="eastAsia" w:ascii="仿宋_GB2312" w:hAnsi="黑体" w:eastAsia="仿宋_GB2312"/>
                <w:color w:val="0000FF"/>
                <w:kern w:val="0"/>
                <w:szCs w:val="21"/>
              </w:rPr>
              <w:t>.要求行政机关确认或重新</w:t>
            </w:r>
          </w:p>
          <w:p>
            <w:pPr>
              <w:widowControl/>
              <w:spacing w:line="300" w:lineRule="exact"/>
              <w:ind w:firstLine="210" w:firstLineChars="100"/>
              <w:rPr>
                <w:rFonts w:ascii="仿宋_GB2312" w:hAnsi="黑体" w:eastAsia="仿宋_GB2312"/>
                <w:color w:val="0000FF"/>
                <w:szCs w:val="21"/>
              </w:rPr>
            </w:pPr>
            <w:r>
              <w:rPr>
                <w:rFonts w:hint="eastAsia" w:ascii="仿宋_GB2312" w:hAnsi="黑体" w:eastAsia="仿宋_GB2312"/>
                <w:color w:val="0000FF"/>
                <w:kern w:val="0"/>
                <w:szCs w:val="21"/>
              </w:rPr>
              <w:t>出具已获取信息</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0000FF"/>
                <w:kern w:val="0"/>
                <w:szCs w:val="21"/>
              </w:rPr>
            </w:pPr>
            <w:r>
              <w:rPr>
                <w:rFonts w:hint="eastAsia" w:ascii="黑体" w:hAnsi="黑体" w:eastAsia="黑体"/>
                <w:color w:val="0000FF"/>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0000FF"/>
              </w:rPr>
            </w:pPr>
            <w:r>
              <w:rPr>
                <w:rFonts w:hint="eastAsia" w:ascii="Times New Roman" w:hAnsi="Times New Roman" w:eastAsia="仿宋_GB2312"/>
                <w:color w:val="0000FF"/>
              </w:rPr>
              <w:t>1</w:t>
            </w:r>
            <w:r>
              <w:rPr>
                <w:rFonts w:hint="eastAsia" w:ascii="仿宋_GB2312" w:hAnsi="楷体" w:eastAsia="仿宋_GB2312"/>
                <w:color w:val="0000FF"/>
              </w:rPr>
              <w:t>.申请人无正当理由逾期不补正、行政机关不再处理其政府信息公开申请</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0000FF"/>
                <w:kern w:val="0"/>
                <w:szCs w:val="21"/>
              </w:rPr>
            </w:pPr>
          </w:p>
        </w:tc>
        <w:tc>
          <w:tcPr>
            <w:tcW w:w="2976" w:type="dxa"/>
            <w:shd w:val="clear" w:color="auto" w:fill="auto"/>
            <w:vAlign w:val="center"/>
          </w:tcPr>
          <w:p>
            <w:pPr>
              <w:widowControl/>
              <w:spacing w:line="300" w:lineRule="exact"/>
              <w:rPr>
                <w:rFonts w:ascii="仿宋_GB2312" w:hAnsi="黑体" w:eastAsia="仿宋_GB2312"/>
                <w:color w:val="0000FF"/>
                <w:kern w:val="0"/>
                <w:szCs w:val="21"/>
              </w:rPr>
            </w:pPr>
            <w:r>
              <w:rPr>
                <w:rFonts w:hint="eastAsia" w:ascii="Times New Roman" w:hAnsi="Times New Roman" w:eastAsia="仿宋_GB2312"/>
                <w:color w:val="0000FF"/>
              </w:rPr>
              <w:t>2</w:t>
            </w:r>
            <w:r>
              <w:rPr>
                <w:rFonts w:hint="eastAsia" w:ascii="仿宋_GB2312" w:hAnsi="楷体" w:eastAsia="仿宋_GB2312"/>
                <w:color w:val="0000FF"/>
              </w:rPr>
              <w:t>.申请人逾期未按收费通知要求缴纳费用、行政机关不再处理其政府信息公开申请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0000FF"/>
                <w:kern w:val="0"/>
                <w:szCs w:val="21"/>
              </w:rPr>
            </w:pPr>
          </w:p>
        </w:tc>
        <w:tc>
          <w:tcPr>
            <w:tcW w:w="2976" w:type="dxa"/>
            <w:shd w:val="clear" w:color="auto" w:fill="auto"/>
            <w:vAlign w:val="center"/>
          </w:tcPr>
          <w:p>
            <w:pPr>
              <w:widowControl/>
              <w:spacing w:line="300" w:lineRule="exact"/>
              <w:rPr>
                <w:rFonts w:ascii="仿宋_GB2312" w:hAnsi="黑体" w:eastAsia="仿宋_GB2312"/>
                <w:color w:val="0000FF"/>
                <w:kern w:val="0"/>
                <w:szCs w:val="21"/>
              </w:rPr>
            </w:pPr>
            <w:r>
              <w:rPr>
                <w:rFonts w:hint="eastAsia" w:ascii="Times New Roman" w:hAnsi="Times New Roman" w:eastAsia="仿宋_GB2312"/>
                <w:color w:val="0000FF"/>
              </w:rPr>
              <w:t>3</w:t>
            </w:r>
            <w:r>
              <w:rPr>
                <w:rFonts w:hint="eastAsia" w:ascii="仿宋_GB2312" w:hAnsi="楷体" w:eastAsia="仿宋_GB2312"/>
                <w:color w:val="0000FF"/>
              </w:rPr>
              <w:t>.其他</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0000FF"/>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0000FF"/>
                <w:kern w:val="0"/>
                <w:szCs w:val="21"/>
              </w:rPr>
            </w:pPr>
            <w:r>
              <w:rPr>
                <w:rFonts w:hint="eastAsia" w:ascii="黑体" w:hAnsi="黑体" w:eastAsia="黑体"/>
                <w:color w:val="0000FF"/>
                <w:kern w:val="0"/>
                <w:szCs w:val="21"/>
              </w:rPr>
              <w:t>（七）总计</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7</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0000FF"/>
                <w:kern w:val="0"/>
                <w:szCs w:val="21"/>
              </w:rPr>
            </w:pPr>
            <w:r>
              <w:rPr>
                <w:rFonts w:hint="eastAsia" w:ascii="黑体" w:hAnsi="黑体" w:eastAsia="黑体"/>
                <w:color w:val="0000FF"/>
                <w:kern w:val="0"/>
                <w:szCs w:val="21"/>
              </w:rPr>
              <w:t>四、结转下年度继续办理</w:t>
            </w:r>
          </w:p>
        </w:tc>
        <w:tc>
          <w:tcPr>
            <w:tcW w:w="747"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40"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20"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67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525" w:type="dxa"/>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c>
          <w:tcPr>
            <w:tcW w:w="701" w:type="dxa"/>
            <w:gridSpan w:val="2"/>
            <w:shd w:val="clear" w:color="auto" w:fill="auto"/>
            <w:tcMar>
              <w:left w:w="108" w:type="dxa"/>
              <w:right w:w="108" w:type="dxa"/>
            </w:tcMar>
            <w:vAlign w:val="center"/>
          </w:tcPr>
          <w:p>
            <w:pPr>
              <w:widowControl/>
              <w:jc w:val="center"/>
              <w:rPr>
                <w:rFonts w:hint="eastAsia" w:ascii="Times New Roman" w:hAnsi="Times New Roman" w:eastAsia="仿宋_GB2312" w:cs="Calibri"/>
                <w:color w:val="0000FF"/>
                <w:kern w:val="0"/>
                <w:szCs w:val="21"/>
                <w:lang w:val="en-US" w:eastAsia="zh-CN"/>
              </w:rPr>
            </w:pPr>
            <w:r>
              <w:rPr>
                <w:rFonts w:hint="eastAsia" w:ascii="Times New Roman" w:hAnsi="Times New Roman" w:eastAsia="仿宋_GB2312" w:cs="Calibri"/>
                <w:color w:val="0000FF"/>
                <w:kern w:val="0"/>
                <w:szCs w:val="21"/>
                <w:lang w:val="en-US" w:eastAsia="zh-CN"/>
              </w:rPr>
              <w:t>0</w:t>
            </w:r>
          </w:p>
        </w:tc>
      </w:tr>
    </w:tbl>
    <w:p>
      <w:pPr>
        <w:widowControl/>
        <w:jc w:val="left"/>
        <w:rPr>
          <w:rFonts w:hint="eastAsia" w:ascii="仿宋_GB2312" w:hAnsi="Calibri" w:eastAsia="仿宋_GB2312" w:cs="Calibri"/>
          <w:color w:val="0000FF"/>
          <w:kern w:val="0"/>
          <w:szCs w:val="21"/>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ascii="仿宋_GB2312" w:eastAsia="仿宋_GB2312"/>
          <w:color w:val="0000FF"/>
          <w:sz w:val="32"/>
          <w:szCs w:val="32"/>
        </w:rPr>
      </w:pPr>
      <w:r>
        <w:rPr>
          <w:rFonts w:hint="eastAsia" w:ascii="黑体" w:hAnsi="黑体" w:eastAsia="黑体" w:cs="黑体"/>
          <w:b w:val="0"/>
          <w:bCs/>
          <w:i w:val="0"/>
          <w:caps w:val="0"/>
          <w:color w:val="0000FF"/>
          <w:spacing w:val="0"/>
          <w:kern w:val="0"/>
          <w:sz w:val="32"/>
          <w:szCs w:val="32"/>
          <w:shd w:val="clear" w:fill="FFFFFF"/>
          <w:lang w:val="en-US" w:eastAsia="zh-CN" w:bidi="ar"/>
        </w:rPr>
        <w:t>四、政府信息公开行政复议、行政诉讼情况</w:t>
      </w:r>
    </w:p>
    <w:tbl>
      <w:tblPr>
        <w:tblStyle w:val="1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000FF"/>
              </w:rPr>
            </w:pPr>
            <w:r>
              <w:rPr>
                <w:rFonts w:ascii="黑体" w:hAnsi="黑体" w:eastAsia="黑体"/>
                <w:color w:val="0000FF"/>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000FF"/>
              </w:rPr>
            </w:pPr>
            <w:r>
              <w:rPr>
                <w:rFonts w:ascii="黑体" w:hAnsi="黑体" w:eastAsia="黑体"/>
                <w:color w:val="0000FF"/>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0000FF"/>
                <w:kern w:val="0"/>
                <w:sz w:val="20"/>
                <w:szCs w:val="20"/>
              </w:rPr>
            </w:pPr>
            <w:r>
              <w:rPr>
                <w:rFonts w:ascii="黑体" w:hAnsi="黑体" w:eastAsia="黑体"/>
                <w:color w:val="0000FF"/>
                <w:kern w:val="0"/>
                <w:sz w:val="20"/>
                <w:szCs w:val="20"/>
              </w:rPr>
              <w:t>结果</w:t>
            </w:r>
          </w:p>
          <w:p>
            <w:pPr>
              <w:widowControl/>
              <w:ind w:left="-149" w:leftChars="-71" w:right="-170" w:rightChars="-81"/>
              <w:jc w:val="center"/>
              <w:rPr>
                <w:rFonts w:ascii="黑体" w:hAnsi="黑体" w:eastAsia="黑体"/>
                <w:color w:val="0000FF"/>
              </w:rPr>
            </w:pPr>
            <w:r>
              <w:rPr>
                <w:rFonts w:ascii="黑体" w:hAnsi="黑体" w:eastAsia="黑体"/>
                <w:color w:val="0000FF"/>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0000FF"/>
              </w:rPr>
            </w:pPr>
            <w:r>
              <w:rPr>
                <w:rFonts w:ascii="黑体" w:hAnsi="黑体" w:eastAsia="黑体"/>
                <w:color w:val="0000FF"/>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0000FF"/>
              </w:rPr>
            </w:pPr>
            <w:r>
              <w:rPr>
                <w:rFonts w:ascii="黑体" w:hAnsi="黑体" w:eastAsia="黑体"/>
                <w:color w:val="0000FF"/>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0000FF"/>
                <w:kern w:val="0"/>
                <w:sz w:val="20"/>
                <w:szCs w:val="20"/>
              </w:rPr>
            </w:pPr>
            <w:r>
              <w:rPr>
                <w:rFonts w:ascii="黑体" w:hAnsi="黑体" w:eastAsia="黑体"/>
                <w:color w:val="0000FF"/>
                <w:kern w:val="0"/>
                <w:sz w:val="20"/>
                <w:szCs w:val="20"/>
              </w:rPr>
              <w:t>尚未</w:t>
            </w:r>
          </w:p>
          <w:p>
            <w:pPr>
              <w:widowControl/>
              <w:ind w:left="-118" w:leftChars="-56" w:right="-118" w:rightChars="-56"/>
              <w:jc w:val="center"/>
              <w:rPr>
                <w:rFonts w:ascii="黑体" w:hAnsi="黑体" w:eastAsia="黑体"/>
                <w:color w:val="0000FF"/>
              </w:rPr>
            </w:pPr>
            <w:r>
              <w:rPr>
                <w:rFonts w:ascii="黑体" w:hAnsi="黑体" w:eastAsia="黑体"/>
                <w:color w:val="0000FF"/>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0000FF"/>
                <w:kern w:val="0"/>
                <w:sz w:val="20"/>
                <w:szCs w:val="20"/>
              </w:rPr>
            </w:pPr>
            <w:r>
              <w:rPr>
                <w:rFonts w:ascii="黑体" w:hAnsi="黑体" w:eastAsia="黑体"/>
                <w:color w:val="0000FF"/>
                <w:kern w:val="0"/>
                <w:sz w:val="20"/>
                <w:szCs w:val="20"/>
              </w:rPr>
              <w:t>总</w:t>
            </w:r>
          </w:p>
          <w:p>
            <w:pPr>
              <w:widowControl/>
              <w:spacing w:line="320" w:lineRule="exact"/>
              <w:jc w:val="center"/>
              <w:rPr>
                <w:rFonts w:ascii="黑体" w:hAnsi="黑体" w:eastAsia="黑体"/>
                <w:color w:val="0000FF"/>
              </w:rPr>
            </w:pPr>
            <w:r>
              <w:rPr>
                <w:rFonts w:ascii="黑体" w:hAnsi="黑体" w:eastAsia="黑体"/>
                <w:color w:val="0000FF"/>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000FF"/>
              </w:rPr>
            </w:pPr>
            <w:r>
              <w:rPr>
                <w:rFonts w:ascii="黑体" w:hAnsi="黑体" w:eastAsia="黑体"/>
                <w:color w:val="0000FF"/>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000FF"/>
              </w:rPr>
            </w:pPr>
            <w:bookmarkStart w:id="10" w:name="_Hlk67039688"/>
            <w:r>
              <w:rPr>
                <w:rFonts w:ascii="黑体" w:hAnsi="黑体" w:eastAsia="黑体"/>
                <w:color w:val="0000FF"/>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000FF"/>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000FF"/>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000FF"/>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000FF"/>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0000FF"/>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0000FF"/>
              </w:rPr>
            </w:pPr>
            <w:r>
              <w:rPr>
                <w:rFonts w:ascii="黑体" w:hAnsi="黑体" w:eastAsia="黑体"/>
                <w:color w:val="0000FF"/>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0000FF"/>
              </w:rPr>
            </w:pPr>
            <w:r>
              <w:rPr>
                <w:rFonts w:ascii="黑体" w:hAnsi="黑体" w:eastAsia="黑体"/>
                <w:color w:val="0000FF"/>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0000FF"/>
                <w:kern w:val="0"/>
                <w:sz w:val="20"/>
                <w:szCs w:val="20"/>
              </w:rPr>
            </w:pPr>
            <w:r>
              <w:rPr>
                <w:rFonts w:ascii="黑体" w:hAnsi="黑体" w:eastAsia="黑体"/>
                <w:color w:val="0000FF"/>
                <w:kern w:val="0"/>
                <w:sz w:val="20"/>
                <w:szCs w:val="20"/>
              </w:rPr>
              <w:t>其他</w:t>
            </w:r>
          </w:p>
          <w:p>
            <w:pPr>
              <w:widowControl/>
              <w:ind w:left="-126" w:leftChars="-60" w:right="-136" w:rightChars="-65"/>
              <w:jc w:val="center"/>
              <w:rPr>
                <w:rFonts w:ascii="黑体" w:hAnsi="黑体" w:eastAsia="黑体"/>
                <w:color w:val="0000FF"/>
              </w:rPr>
            </w:pPr>
            <w:r>
              <w:rPr>
                <w:rFonts w:ascii="黑体" w:hAnsi="黑体" w:eastAsia="黑体"/>
                <w:color w:val="0000FF"/>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0000FF"/>
                <w:kern w:val="0"/>
                <w:sz w:val="20"/>
                <w:szCs w:val="20"/>
              </w:rPr>
            </w:pPr>
            <w:r>
              <w:rPr>
                <w:rFonts w:ascii="黑体" w:hAnsi="黑体" w:eastAsia="黑体"/>
                <w:color w:val="0000FF"/>
                <w:kern w:val="0"/>
                <w:sz w:val="20"/>
                <w:szCs w:val="20"/>
              </w:rPr>
              <w:t>尚未</w:t>
            </w:r>
          </w:p>
          <w:p>
            <w:pPr>
              <w:widowControl/>
              <w:ind w:left="-164" w:leftChars="-78" w:right="-153" w:rightChars="-73"/>
              <w:jc w:val="center"/>
              <w:rPr>
                <w:rFonts w:ascii="黑体" w:hAnsi="黑体" w:eastAsia="黑体"/>
                <w:color w:val="0000FF"/>
              </w:rPr>
            </w:pPr>
            <w:r>
              <w:rPr>
                <w:rFonts w:ascii="黑体" w:hAnsi="黑体" w:eastAsia="黑体"/>
                <w:color w:val="0000FF"/>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000FF"/>
              </w:rPr>
            </w:pPr>
            <w:r>
              <w:rPr>
                <w:rFonts w:ascii="黑体" w:hAnsi="黑体" w:eastAsia="黑体"/>
                <w:color w:val="0000FF"/>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0000FF"/>
              </w:rPr>
            </w:pPr>
            <w:r>
              <w:rPr>
                <w:rFonts w:ascii="黑体" w:hAnsi="黑体" w:eastAsia="黑体"/>
                <w:color w:val="0000FF"/>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0000FF"/>
                <w:kern w:val="0"/>
                <w:sz w:val="20"/>
                <w:szCs w:val="20"/>
              </w:rPr>
            </w:pPr>
            <w:r>
              <w:rPr>
                <w:rFonts w:ascii="黑体" w:hAnsi="黑体" w:eastAsia="黑体"/>
                <w:color w:val="0000FF"/>
                <w:kern w:val="0"/>
                <w:sz w:val="20"/>
                <w:szCs w:val="20"/>
              </w:rPr>
              <w:t>结果</w:t>
            </w:r>
          </w:p>
          <w:p>
            <w:pPr>
              <w:widowControl/>
              <w:ind w:left="-136" w:leftChars="-65" w:right="-124" w:rightChars="-59"/>
              <w:jc w:val="center"/>
              <w:rPr>
                <w:rFonts w:ascii="黑体" w:hAnsi="黑体" w:eastAsia="黑体"/>
                <w:color w:val="0000FF"/>
              </w:rPr>
            </w:pPr>
            <w:r>
              <w:rPr>
                <w:rFonts w:ascii="黑体" w:hAnsi="黑体" w:eastAsia="黑体"/>
                <w:color w:val="0000FF"/>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0000FF"/>
                <w:kern w:val="0"/>
                <w:sz w:val="20"/>
                <w:szCs w:val="20"/>
              </w:rPr>
            </w:pPr>
            <w:r>
              <w:rPr>
                <w:rFonts w:ascii="黑体" w:hAnsi="黑体" w:eastAsia="黑体"/>
                <w:color w:val="0000FF"/>
                <w:kern w:val="0"/>
                <w:sz w:val="20"/>
                <w:szCs w:val="20"/>
              </w:rPr>
              <w:t>其他</w:t>
            </w:r>
          </w:p>
          <w:p>
            <w:pPr>
              <w:widowControl/>
              <w:ind w:left="-173" w:leftChars="-83" w:right="-134" w:rightChars="-64" w:hanging="1"/>
              <w:jc w:val="center"/>
              <w:rPr>
                <w:rFonts w:ascii="黑体" w:hAnsi="黑体" w:eastAsia="黑体"/>
                <w:color w:val="0000FF"/>
              </w:rPr>
            </w:pPr>
            <w:r>
              <w:rPr>
                <w:rFonts w:ascii="黑体" w:hAnsi="黑体" w:eastAsia="黑体"/>
                <w:color w:val="0000FF"/>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0000FF"/>
              </w:rPr>
            </w:pPr>
            <w:r>
              <w:rPr>
                <w:rFonts w:ascii="黑体" w:hAnsi="黑体" w:eastAsia="黑体"/>
                <w:color w:val="0000FF"/>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0000FF"/>
              </w:rPr>
            </w:pPr>
            <w:r>
              <w:rPr>
                <w:rFonts w:ascii="黑体" w:hAnsi="黑体" w:eastAsia="黑体"/>
                <w:color w:val="0000FF"/>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FF"/>
                <w:lang w:val="en-US" w:eastAsia="zh-CN"/>
              </w:rPr>
            </w:pPr>
            <w:r>
              <w:rPr>
                <w:rFonts w:hint="eastAsia" w:ascii="Times New Roman" w:hAnsi="Times New Roman"/>
                <w:color w:val="0000FF"/>
                <w:lang w:val="en-US" w:eastAsia="zh-CN"/>
              </w:rPr>
              <w:t>0</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pacing w:val="0"/>
          <w:kern w:val="0"/>
          <w:sz w:val="32"/>
          <w:szCs w:val="32"/>
          <w:lang w:val="en-US" w:eastAsia="zh-CN" w:bidi="en-US"/>
        </w:rPr>
      </w:pPr>
      <w:r>
        <w:rPr>
          <w:rFonts w:hint="eastAsia" w:ascii="楷体_GB2312" w:hAnsi="楷体_GB2312" w:eastAsia="楷体_GB2312" w:cs="楷体_GB2312"/>
          <w:b w:val="0"/>
          <w:bCs w:val="0"/>
          <w:color w:val="auto"/>
          <w:sz w:val="32"/>
          <w:szCs w:val="32"/>
          <w:lang w:val="en-US" w:eastAsia="zh-CN"/>
        </w:rPr>
        <w:t>（一）存在的主要问题：</w:t>
      </w:r>
      <w:r>
        <w:rPr>
          <w:rFonts w:hint="eastAsia" w:ascii="Times New Roman" w:hAnsi="Times New Roman" w:eastAsia="仿宋_GB2312" w:cs="仿宋_GB2312"/>
          <w:color w:val="auto"/>
          <w:spacing w:val="0"/>
          <w:kern w:val="0"/>
          <w:sz w:val="32"/>
          <w:szCs w:val="32"/>
          <w:lang w:val="en-US" w:eastAsia="zh-CN" w:bidi="en-US"/>
        </w:rPr>
        <w:t>一是政务公开全面性、准确性有待提升。二是政策解读质量不高，创新性不足。三是政务公开专区功能不够丰富完善。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pacing w:val="0"/>
          <w:kern w:val="0"/>
          <w:sz w:val="32"/>
          <w:szCs w:val="32"/>
          <w:lang w:val="en-US" w:eastAsia="zh-CN" w:bidi="en-US"/>
        </w:rPr>
      </w:pPr>
      <w:r>
        <w:rPr>
          <w:rFonts w:hint="default" w:ascii="楷体_GB2312" w:hAnsi="楷体_GB2312" w:eastAsia="楷体_GB2312" w:cs="楷体_GB2312"/>
          <w:b w:val="0"/>
          <w:bCs w:val="0"/>
          <w:color w:val="auto"/>
          <w:sz w:val="32"/>
          <w:szCs w:val="32"/>
          <w:lang w:val="en-US" w:eastAsia="zh-CN"/>
        </w:rPr>
        <w:t>（二）改进措施：</w:t>
      </w:r>
      <w:r>
        <w:rPr>
          <w:rFonts w:hint="default" w:ascii="Times New Roman" w:hAnsi="Times New Roman" w:eastAsia="仿宋_GB2312" w:cs="仿宋_GB2312"/>
          <w:color w:val="auto"/>
          <w:spacing w:val="0"/>
          <w:kern w:val="0"/>
          <w:sz w:val="32"/>
          <w:szCs w:val="32"/>
          <w:lang w:val="en-US" w:eastAsia="zh-CN" w:bidi="en-US"/>
        </w:rPr>
        <w:t>一是强化日常管理，</w:t>
      </w:r>
      <w:r>
        <w:rPr>
          <w:rFonts w:hint="eastAsia" w:ascii="Times New Roman" w:hAnsi="Times New Roman" w:eastAsia="仿宋_GB2312" w:cs="仿宋_GB2312"/>
          <w:color w:val="auto"/>
          <w:spacing w:val="0"/>
          <w:kern w:val="0"/>
          <w:sz w:val="32"/>
          <w:szCs w:val="32"/>
          <w:lang w:val="en-US" w:eastAsia="zh-CN" w:bidi="en-US"/>
        </w:rPr>
        <w:t>对</w:t>
      </w:r>
      <w:r>
        <w:rPr>
          <w:rFonts w:hint="default" w:ascii="Times New Roman" w:hAnsi="Times New Roman" w:eastAsia="仿宋_GB2312" w:cs="仿宋_GB2312"/>
          <w:color w:val="auto"/>
          <w:spacing w:val="0"/>
          <w:kern w:val="0"/>
          <w:sz w:val="32"/>
          <w:szCs w:val="32"/>
          <w:lang w:val="en-US" w:eastAsia="zh-CN" w:bidi="en-US"/>
        </w:rPr>
        <w:t>相关工作人员进行培训辅导，深化思想认识，切实提升工作水平，保障</w:t>
      </w:r>
      <w:r>
        <w:rPr>
          <w:rFonts w:hint="eastAsia" w:ascii="Times New Roman" w:hAnsi="Times New Roman" w:eastAsia="仿宋_GB2312" w:cs="仿宋_GB2312"/>
          <w:color w:val="auto"/>
          <w:spacing w:val="0"/>
          <w:kern w:val="0"/>
          <w:sz w:val="32"/>
          <w:szCs w:val="32"/>
          <w:lang w:val="en-US" w:eastAsia="zh-CN" w:bidi="en-US"/>
        </w:rPr>
        <w:t>政务</w:t>
      </w:r>
      <w:r>
        <w:rPr>
          <w:rFonts w:hint="default" w:ascii="Times New Roman" w:hAnsi="Times New Roman" w:eastAsia="仿宋_GB2312" w:cs="仿宋_GB2312"/>
          <w:color w:val="auto"/>
          <w:spacing w:val="0"/>
          <w:kern w:val="0"/>
          <w:sz w:val="32"/>
          <w:szCs w:val="32"/>
          <w:lang w:val="en-US" w:eastAsia="zh-CN" w:bidi="en-US"/>
        </w:rPr>
        <w:t>公开及时</w:t>
      </w:r>
      <w:r>
        <w:rPr>
          <w:rFonts w:hint="eastAsia" w:ascii="Times New Roman" w:hAnsi="Times New Roman" w:eastAsia="仿宋_GB2312" w:cs="仿宋_GB2312"/>
          <w:color w:val="auto"/>
          <w:spacing w:val="0"/>
          <w:kern w:val="0"/>
          <w:sz w:val="32"/>
          <w:szCs w:val="32"/>
          <w:lang w:val="en-US" w:eastAsia="zh-CN" w:bidi="en-US"/>
        </w:rPr>
        <w:t>全面</w:t>
      </w:r>
      <w:r>
        <w:rPr>
          <w:rFonts w:hint="default" w:ascii="Times New Roman" w:hAnsi="Times New Roman" w:eastAsia="仿宋_GB2312" w:cs="仿宋_GB2312"/>
          <w:color w:val="auto"/>
          <w:spacing w:val="0"/>
          <w:kern w:val="0"/>
          <w:sz w:val="32"/>
          <w:szCs w:val="32"/>
          <w:lang w:val="en-US" w:eastAsia="zh-CN" w:bidi="en-US"/>
        </w:rPr>
        <w:t>。同时增强各</w:t>
      </w:r>
      <w:r>
        <w:rPr>
          <w:rFonts w:hint="eastAsia" w:ascii="Times New Roman" w:hAnsi="Times New Roman" w:eastAsia="仿宋_GB2312" w:cs="仿宋_GB2312"/>
          <w:color w:val="auto"/>
          <w:spacing w:val="0"/>
          <w:kern w:val="0"/>
          <w:sz w:val="32"/>
          <w:szCs w:val="32"/>
          <w:lang w:val="en-US" w:eastAsia="zh-CN" w:bidi="en-US"/>
        </w:rPr>
        <w:t>科室</w:t>
      </w:r>
      <w:r>
        <w:rPr>
          <w:rFonts w:hint="default" w:ascii="Times New Roman" w:hAnsi="Times New Roman" w:eastAsia="仿宋_GB2312" w:cs="仿宋_GB2312"/>
          <w:color w:val="auto"/>
          <w:spacing w:val="0"/>
          <w:kern w:val="0"/>
          <w:sz w:val="32"/>
          <w:szCs w:val="32"/>
          <w:lang w:val="en-US" w:eastAsia="zh-CN" w:bidi="en-US"/>
        </w:rPr>
        <w:t>协调互动，强化</w:t>
      </w:r>
      <w:r>
        <w:rPr>
          <w:rFonts w:hint="eastAsia" w:ascii="Times New Roman" w:hAnsi="Times New Roman" w:eastAsia="仿宋_GB2312" w:cs="仿宋_GB2312"/>
          <w:color w:val="auto"/>
          <w:spacing w:val="0"/>
          <w:kern w:val="0"/>
          <w:sz w:val="32"/>
          <w:szCs w:val="32"/>
          <w:lang w:val="en-US" w:eastAsia="zh-CN" w:bidi="en-US"/>
        </w:rPr>
        <w:t>公开</w:t>
      </w:r>
      <w:r>
        <w:rPr>
          <w:rFonts w:hint="default" w:ascii="Times New Roman" w:hAnsi="Times New Roman" w:eastAsia="仿宋_GB2312" w:cs="仿宋_GB2312"/>
          <w:color w:val="auto"/>
          <w:spacing w:val="0"/>
          <w:kern w:val="0"/>
          <w:sz w:val="32"/>
          <w:szCs w:val="32"/>
          <w:lang w:val="en-US" w:eastAsia="zh-CN" w:bidi="en-US"/>
        </w:rPr>
        <w:t>信息审核力度，保证</w:t>
      </w:r>
      <w:r>
        <w:rPr>
          <w:rFonts w:hint="eastAsia" w:ascii="Times New Roman" w:hAnsi="Times New Roman" w:eastAsia="仿宋_GB2312" w:cs="仿宋_GB2312"/>
          <w:color w:val="auto"/>
          <w:spacing w:val="0"/>
          <w:kern w:val="0"/>
          <w:sz w:val="32"/>
          <w:szCs w:val="32"/>
          <w:lang w:val="en-US" w:eastAsia="zh-CN" w:bidi="en-US"/>
        </w:rPr>
        <w:t>公开</w:t>
      </w:r>
      <w:r>
        <w:rPr>
          <w:rFonts w:hint="default" w:ascii="Times New Roman" w:hAnsi="Times New Roman" w:eastAsia="仿宋_GB2312" w:cs="仿宋_GB2312"/>
          <w:color w:val="auto"/>
          <w:spacing w:val="0"/>
          <w:kern w:val="0"/>
          <w:sz w:val="32"/>
          <w:szCs w:val="32"/>
          <w:lang w:val="en-US" w:eastAsia="zh-CN" w:bidi="en-US"/>
        </w:rPr>
        <w:t>信息的准确性。二是丰富政策解读的形式和内容，针对热点问题丰富</w:t>
      </w:r>
      <w:r>
        <w:rPr>
          <w:rFonts w:hint="eastAsia" w:ascii="Times New Roman" w:hAnsi="Times New Roman" w:eastAsia="仿宋_GB2312" w:cs="仿宋_GB2312"/>
          <w:color w:val="auto"/>
          <w:spacing w:val="0"/>
          <w:kern w:val="0"/>
          <w:sz w:val="32"/>
          <w:szCs w:val="32"/>
          <w:lang w:val="en-US" w:eastAsia="zh-CN" w:bidi="en-US"/>
        </w:rPr>
        <w:t>解读</w:t>
      </w:r>
      <w:r>
        <w:rPr>
          <w:rFonts w:hint="default" w:ascii="Times New Roman" w:hAnsi="Times New Roman" w:eastAsia="仿宋_GB2312" w:cs="仿宋_GB2312"/>
          <w:color w:val="auto"/>
          <w:spacing w:val="0"/>
          <w:kern w:val="0"/>
          <w:sz w:val="32"/>
          <w:szCs w:val="32"/>
          <w:lang w:val="en-US" w:eastAsia="zh-CN" w:bidi="en-US"/>
        </w:rPr>
        <w:t>内容，扩大宣传涉及面，创新宣传形式</w:t>
      </w:r>
      <w:r>
        <w:rPr>
          <w:rFonts w:hint="eastAsia" w:ascii="Times New Roman" w:hAnsi="Times New Roman" w:eastAsia="仿宋_GB2312" w:cs="仿宋_GB2312"/>
          <w:color w:val="auto"/>
          <w:spacing w:val="0"/>
          <w:kern w:val="0"/>
          <w:sz w:val="32"/>
          <w:szCs w:val="32"/>
          <w:lang w:val="en-US" w:eastAsia="zh-CN" w:bidi="en-US"/>
        </w:rPr>
        <w:t>。三是学习总结政务公开专区建设经验，加强对政务公开专区的管理，扩大群众参与度，持续完善政务公开专区功能。</w:t>
      </w:r>
      <w:bookmarkStart w:id="11" w:name="_GoBack"/>
      <w:bookmarkEnd w:id="1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（一）依申请公开信息处理费收费情况。</w:t>
      </w:r>
      <w:r>
        <w:rPr>
          <w:rFonts w:hint="eastAsia" w:ascii="Times New Roman" w:hAnsi="Times New Roman"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年，我单位无收取信息处理费的情况。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楷体_GB2312" w:hAnsi="楷体_GB2312" w:eastAsia="楷体_GB2312" w:cs="楷体_GB2312"/>
          <w:b w:val="0"/>
          <w:bCs w:val="0"/>
          <w:color w:val="auto"/>
          <w:sz w:val="32"/>
          <w:szCs w:val="32"/>
          <w:lang w:val="en-US" w:eastAsia="zh-CN"/>
        </w:rPr>
        <w:t>（二）本年度建议提案办理情况。</w:t>
      </w:r>
      <w:r>
        <w:rPr>
          <w:rFonts w:hint="eastAsia" w:ascii="Times New Roman" w:hAnsi="Times New Roman"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市行政审批服务局</w:t>
      </w:r>
      <w:r>
        <w:rPr>
          <w:rFonts w:hint="eastAsia" w:ascii="仿宋_GB2312" w:hAnsi="仿宋_GB2312" w:eastAsia="仿宋_GB2312" w:cs="仿宋_GB2312"/>
          <w:color w:val="auto"/>
          <w:sz w:val="32"/>
          <w:szCs w:val="32"/>
          <w:highlight w:val="none"/>
          <w:lang w:eastAsia="zh-CN"/>
        </w:rPr>
        <w:t>共</w:t>
      </w:r>
      <w:r>
        <w:rPr>
          <w:rFonts w:hint="eastAsia" w:ascii="仿宋_GB2312" w:hAnsi="仿宋_GB2312" w:eastAsia="仿宋_GB2312" w:cs="仿宋_GB2312"/>
          <w:color w:val="auto"/>
          <w:sz w:val="32"/>
          <w:szCs w:val="32"/>
          <w:highlight w:val="none"/>
          <w:lang w:val="en-US" w:eastAsia="zh-CN"/>
        </w:rPr>
        <w:t>办理</w:t>
      </w:r>
      <w:r>
        <w:rPr>
          <w:rFonts w:hint="eastAsia" w:ascii="仿宋_GB2312" w:hAnsi="仿宋_GB2312" w:eastAsia="仿宋_GB2312" w:cs="仿宋_GB2312"/>
          <w:color w:val="auto"/>
          <w:sz w:val="32"/>
          <w:szCs w:val="32"/>
          <w:highlight w:val="none"/>
        </w:rPr>
        <w:t>市第十六届人大四次会议</w:t>
      </w:r>
      <w:r>
        <w:rPr>
          <w:rFonts w:hint="eastAsia" w:ascii="仿宋_GB2312" w:hAnsi="仿宋_GB2312" w:eastAsia="仿宋_GB2312" w:cs="仿宋_GB2312"/>
          <w:color w:val="auto"/>
          <w:sz w:val="32"/>
          <w:szCs w:val="32"/>
          <w:highlight w:val="none"/>
          <w:lang w:val="en-US" w:eastAsia="zh-CN"/>
        </w:rPr>
        <w:t>人大代表建议</w:t>
      </w:r>
      <w:r>
        <w:rPr>
          <w:rFonts w:hint="eastAsia" w:ascii="Times New Roman" w:hAnsi="Times New Roman"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政协十三届三次会议政协委员</w:t>
      </w:r>
      <w:r>
        <w:rPr>
          <w:rFonts w:hint="eastAsia" w:ascii="仿宋_GB2312" w:hAnsi="仿宋_GB2312" w:eastAsia="仿宋_GB2312" w:cs="仿宋_GB2312"/>
          <w:color w:val="auto"/>
          <w:sz w:val="32"/>
          <w:szCs w:val="32"/>
          <w:highlight w:val="none"/>
        </w:rPr>
        <w:t>提案</w:t>
      </w:r>
      <w:r>
        <w:rPr>
          <w:rFonts w:hint="eastAsia" w:ascii="Times New Roman" w:hAnsi="Times New Roman"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主办件</w:t>
      </w:r>
      <w:r>
        <w:rPr>
          <w:rFonts w:hint="eastAsia" w:ascii="Times New Roman" w:hAnsi="Times New Roman"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件、会办件</w:t>
      </w:r>
      <w:r>
        <w:rPr>
          <w:rFonts w:hint="eastAsia" w:ascii="Times New Roman" w:hAnsi="Times New Roman"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件、协办件</w:t>
      </w:r>
      <w:r>
        <w:rPr>
          <w:rFonts w:hint="eastAsia" w:ascii="Times New Roman" w:hAnsi="Times New Roman"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件</w:t>
      </w:r>
      <w:r>
        <w:rPr>
          <w:rFonts w:hint="eastAsia" w:ascii="仿宋_GB2312" w:hAnsi="仿宋_GB2312" w:eastAsia="仿宋_GB2312" w:cs="仿宋_GB2312"/>
          <w:color w:val="auto"/>
          <w:sz w:val="32"/>
          <w:szCs w:val="32"/>
          <w:highlight w:val="none"/>
          <w:lang w:eastAsia="zh-CN"/>
        </w:rPr>
        <w:t>，办理结果</w:t>
      </w:r>
      <w:r>
        <w:rPr>
          <w:rFonts w:hint="eastAsia" w:ascii="仿宋_GB2312" w:hAnsi="仿宋_GB2312" w:eastAsia="仿宋_GB2312" w:cs="仿宋_GB2312"/>
          <w:color w:val="auto"/>
          <w:sz w:val="32"/>
          <w:szCs w:val="32"/>
          <w:highlight w:val="none"/>
          <w:lang w:val="en-US" w:eastAsia="zh-CN"/>
        </w:rPr>
        <w:t>均为A类。所承办的</w:t>
      </w:r>
      <w:r>
        <w:rPr>
          <w:rFonts w:hint="eastAsia" w:ascii="Times New Roman" w:hAnsi="Times New Roman"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件建议和</w:t>
      </w:r>
      <w:r>
        <w:rPr>
          <w:rFonts w:hint="eastAsia" w:ascii="仿宋_GB2312" w:hAnsi="仿宋_GB2312" w:eastAsia="仿宋_GB2312" w:cs="仿宋_GB2312"/>
          <w:color w:val="auto"/>
          <w:sz w:val="32"/>
          <w:szCs w:val="32"/>
          <w:highlight w:val="none"/>
          <w:lang w:eastAsia="zh-CN"/>
        </w:rPr>
        <w:t>提案</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lang w:eastAsia="zh-CN"/>
        </w:rPr>
        <w:t>均已答复，</w:t>
      </w:r>
      <w:r>
        <w:rPr>
          <w:rFonts w:hint="eastAsia" w:ascii="仿宋_GB2312" w:hAnsi="仿宋_GB2312" w:eastAsia="仿宋_GB2312" w:cs="仿宋_GB2312"/>
          <w:color w:val="auto"/>
          <w:sz w:val="32"/>
          <w:szCs w:val="32"/>
          <w:highlight w:val="none"/>
          <w:lang w:val="en-US" w:eastAsia="zh-CN"/>
        </w:rPr>
        <w:t>经过面复和电话对接，均</w:t>
      </w:r>
      <w:r>
        <w:rPr>
          <w:rFonts w:hint="eastAsia" w:ascii="仿宋_GB2312" w:hAnsi="仿宋_GB2312" w:eastAsia="仿宋_GB2312" w:cs="仿宋_GB2312"/>
          <w:color w:val="auto"/>
          <w:sz w:val="32"/>
          <w:szCs w:val="32"/>
          <w:highlight w:val="none"/>
        </w:rPr>
        <w:t>得到</w:t>
      </w:r>
      <w:r>
        <w:rPr>
          <w:rFonts w:hint="eastAsia" w:ascii="仿宋_GB2312" w:hAnsi="仿宋_GB2312" w:eastAsia="仿宋_GB2312" w:cs="仿宋_GB2312"/>
          <w:color w:val="auto"/>
          <w:sz w:val="32"/>
          <w:szCs w:val="32"/>
          <w:highlight w:val="none"/>
          <w:lang w:val="en-US" w:eastAsia="zh-CN"/>
        </w:rPr>
        <w:t>市人大代表和市</w:t>
      </w:r>
      <w:r>
        <w:rPr>
          <w:rFonts w:hint="eastAsia" w:ascii="仿宋_GB2312" w:hAnsi="仿宋_GB2312" w:eastAsia="仿宋_GB2312" w:cs="仿宋_GB2312"/>
          <w:color w:val="auto"/>
          <w:sz w:val="32"/>
          <w:szCs w:val="32"/>
          <w:highlight w:val="none"/>
          <w:lang w:eastAsia="zh-CN"/>
        </w:rPr>
        <w:t>政协</w:t>
      </w:r>
      <w:r>
        <w:rPr>
          <w:rFonts w:hint="eastAsia" w:ascii="仿宋_GB2312" w:hAnsi="仿宋_GB2312" w:eastAsia="仿宋_GB2312" w:cs="仿宋_GB2312"/>
          <w:color w:val="auto"/>
          <w:sz w:val="32"/>
          <w:szCs w:val="32"/>
          <w:highlight w:val="none"/>
        </w:rPr>
        <w:t>委员</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满意评价。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（三）本部门在政务公开制度、内容、形式和平台建设方面的创新实践情况。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1.建立政务公开、政务服务双向反馈机制。一是审核并更新办事指引</w:t>
      </w:r>
      <w:r>
        <w:rPr>
          <w:rFonts w:hint="eastAsia" w:ascii="Times New Roman" w:hAnsi="Times New Roman" w:eastAsia="仿宋_GB2312" w:cs="仿宋_GB2312"/>
          <w:b w:val="0"/>
          <w:bCs w:val="0"/>
          <w:color w:val="auto"/>
          <w:sz w:val="32"/>
          <w:szCs w:val="32"/>
          <w:lang w:val="en-US" w:eastAsia="zh-CN"/>
        </w:rPr>
        <w:t>1087</w:t>
      </w:r>
      <w:r>
        <w:rPr>
          <w:rFonts w:hint="eastAsia" w:ascii="仿宋_GB2312" w:hAnsi="仿宋_GB2312" w:eastAsia="仿宋_GB2312" w:cs="仿宋_GB2312"/>
          <w:b w:val="0"/>
          <w:bCs w:val="0"/>
          <w:color w:val="auto"/>
          <w:sz w:val="32"/>
          <w:szCs w:val="32"/>
          <w:lang w:val="en-US" w:eastAsia="zh-CN"/>
        </w:rPr>
        <w:t>个，制作并上传办事指引流程图。二是开展政策文件评估，组织对</w:t>
      </w:r>
      <w:r>
        <w:rPr>
          <w:rFonts w:hint="eastAsia" w:ascii="Times New Roman" w:hAnsi="Times New Roman"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个政策文件的落实情况、实施效果、企业群众反馈情况、存在问题、意见建议进行了初步评估评价。三是每月调度工作进展情况，适时开展督导调研，对工作情况进行总结分析，各责任科室对工作中发现的问题及时反馈，并共同研究解决，</w:t>
      </w:r>
      <w:r>
        <w:rPr>
          <w:rFonts w:hint="eastAsia" w:ascii="Times New Roman" w:hAnsi="Times New Roman"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val="en-US" w:eastAsia="zh-CN"/>
        </w:rPr>
        <w:t>年，共发现处理问题</w:t>
      </w:r>
      <w:r>
        <w:rPr>
          <w:rFonts w:hint="eastAsia" w:ascii="Times New Roman" w:hAnsi="Times New Roman" w:eastAsia="仿宋_GB2312" w:cs="仿宋_GB2312"/>
          <w:b w:val="0"/>
          <w:bCs w:val="0"/>
          <w:color w:val="auto"/>
          <w:sz w:val="32"/>
          <w:szCs w:val="32"/>
          <w:lang w:val="en-US" w:eastAsia="zh-CN"/>
        </w:rPr>
        <w:t>37</w:t>
      </w:r>
      <w:r>
        <w:rPr>
          <w:rFonts w:hint="eastAsia" w:ascii="仿宋_GB2312" w:hAnsi="仿宋_GB2312" w:eastAsia="仿宋_GB2312" w:cs="仿宋_GB2312"/>
          <w:b w:val="0"/>
          <w:bCs w:val="0"/>
          <w:color w:val="auto"/>
          <w:sz w:val="32"/>
          <w:szCs w:val="32"/>
          <w:lang w:val="en-US"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推出“服务即公开、公开即服务”工作理念。在批前针对企业个性化需求，召集部门共同进行项目策划，为企业提供政策辅导服务，助力项目快速办理相关手续。批中组织帮办代办人员全流程参与政务服务，为企业和群众提供政策辅导、材料申报、受理审批、结果反馈等线上线下服务。批后对已出台政策的落地情况，及项目审批办理效果进行评估，将评估结果作为政策调整的重要依据。相关政务公开工作经验被新华社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3.举办“政府开放日”活动。邀请企业、群众、媒体代表等担任“体验员”“零距离”体验办事流程，“面对面”沟通座谈交流，为政务服务建言献策，助力政务服务效能提升。</w:t>
      </w:r>
      <w:r>
        <w:rPr>
          <w:rFonts w:hint="eastAsia" w:ascii="Times New Roman" w:hAnsi="Times New Roman"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val="en-US" w:eastAsia="zh-CN"/>
        </w:rPr>
        <w:t>年，共举办政府开放日活动</w:t>
      </w:r>
      <w:r>
        <w:rPr>
          <w:rFonts w:hint="eastAsia" w:ascii="Times New Roman" w:hAnsi="Times New Roman"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次，收集意见建议</w:t>
      </w:r>
      <w:r>
        <w:rPr>
          <w:rFonts w:hint="eastAsia" w:ascii="Times New Roman" w:hAnsi="Times New Roman"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lang w:val="en-US" w:eastAsia="zh-CN"/>
        </w:rPr>
        <w:t>个，均已得到回复和解决。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4.召开新闻发布会。</w:t>
      </w:r>
      <w:r>
        <w:rPr>
          <w:rFonts w:hint="eastAsia" w:ascii="Times New Roman" w:hAnsi="Times New Roman" w:eastAsia="仿宋_GB2312" w:cs="仿宋_GB2312"/>
          <w:b w:val="0"/>
          <w:bCs w:val="0"/>
          <w:color w:val="auto"/>
          <w:sz w:val="32"/>
          <w:szCs w:val="32"/>
          <w:lang w:val="en-US" w:eastAsia="zh-CN"/>
        </w:rPr>
        <w:t>2024</w:t>
      </w:r>
      <w:r>
        <w:rPr>
          <w:rFonts w:hint="eastAsia" w:ascii="仿宋_GB2312" w:hAnsi="仿宋_GB2312" w:eastAsia="仿宋_GB2312" w:cs="仿宋_GB2312"/>
          <w:b w:val="0"/>
          <w:bCs w:val="0"/>
          <w:color w:val="auto"/>
          <w:sz w:val="32"/>
          <w:szCs w:val="32"/>
          <w:lang w:val="en-US" w:eastAsia="zh-CN"/>
        </w:rPr>
        <w:t>年，共召开新闻发布会</w:t>
      </w:r>
      <w:r>
        <w:rPr>
          <w:rFonts w:hint="eastAsia" w:ascii="Times New Roman" w:hAnsi="Times New Roman"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次，发布增值服务、高效办成一件事、租赁土地项目建设手续一类事等改革成果</w:t>
      </w:r>
      <w:r>
        <w:rPr>
          <w:rFonts w:hint="eastAsia" w:ascii="Times New Roman" w:hAnsi="Times New Roman"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项，持续创新拓展服务场景，以高品质政务服务赋能“服务淄博”建设，企业、群众办事便利度和体验感进一步提升。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0000FF"/>
          <w:lang w:val="en-US" w:eastAsia="zh-CN"/>
        </w:rPr>
      </w:pPr>
      <w:r>
        <w:rPr>
          <w:rFonts w:hint="eastAsia" w:ascii="楷体_GB2312" w:hAnsi="楷体_GB2312" w:eastAsia="楷体_GB2312" w:cs="楷体_GB2312"/>
          <w:b w:val="0"/>
          <w:bCs w:val="0"/>
          <w:color w:val="auto"/>
          <w:sz w:val="32"/>
          <w:szCs w:val="32"/>
          <w:lang w:val="en-US" w:eastAsia="zh-CN"/>
        </w:rPr>
        <w:t>（四）《</w:t>
      </w:r>
      <w:r>
        <w:rPr>
          <w:rFonts w:hint="eastAsia" w:ascii="Times New Roman" w:hAnsi="Times New Roman" w:eastAsia="楷体_GB2312" w:cs="楷体_GB2312"/>
          <w:b w:val="0"/>
          <w:bCs w:val="0"/>
          <w:color w:val="auto"/>
          <w:sz w:val="32"/>
          <w:szCs w:val="32"/>
          <w:lang w:val="en-US" w:eastAsia="zh-CN"/>
        </w:rPr>
        <w:t>2024</w:t>
      </w:r>
      <w:r>
        <w:rPr>
          <w:rFonts w:hint="eastAsia" w:ascii="楷体_GB2312" w:hAnsi="楷体_GB2312" w:eastAsia="楷体_GB2312" w:cs="楷体_GB2312"/>
          <w:b w:val="0"/>
          <w:bCs w:val="0"/>
          <w:color w:val="auto"/>
          <w:sz w:val="32"/>
          <w:szCs w:val="32"/>
          <w:lang w:val="en-US" w:eastAsia="zh-CN"/>
        </w:rPr>
        <w:t>年淄博市政务公开工作方案》落实情况。</w:t>
      </w:r>
      <w:r>
        <w:rPr>
          <w:rFonts w:hint="eastAsia" w:ascii="仿宋_GB2312" w:hAnsi="仿宋_GB2312" w:eastAsia="仿宋_GB2312" w:cs="仿宋_GB2312"/>
          <w:b w:val="0"/>
          <w:bCs w:val="0"/>
          <w:color w:val="auto"/>
          <w:sz w:val="32"/>
          <w:szCs w:val="32"/>
          <w:lang w:val="en-US" w:eastAsia="zh-CN"/>
        </w:rPr>
        <w:t>据上级文件和单位实际制定《淄博市行政审批服务局政务公开工作实施方案》，分解政务公开工作任务、明确责任分工、细化工作措施，确保工作有目标、有措施、有效果、有成绩。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jA1MzRmOTliMTY0YmFhNjk5YjQ2MjQ1MmM0OGEifQ=="/>
  </w:docVars>
  <w:rsids>
    <w:rsidRoot w:val="11AF18C8"/>
    <w:rsid w:val="030F5C4C"/>
    <w:rsid w:val="07E37491"/>
    <w:rsid w:val="0D4D54AE"/>
    <w:rsid w:val="0D72249E"/>
    <w:rsid w:val="0E7A2F99"/>
    <w:rsid w:val="0E8C2C7D"/>
    <w:rsid w:val="0F3A6FE3"/>
    <w:rsid w:val="0FA76AE8"/>
    <w:rsid w:val="11AF18C8"/>
    <w:rsid w:val="141D2158"/>
    <w:rsid w:val="14A02B65"/>
    <w:rsid w:val="19866520"/>
    <w:rsid w:val="1A3648DF"/>
    <w:rsid w:val="1A6A77C7"/>
    <w:rsid w:val="1B2047C2"/>
    <w:rsid w:val="1D9128C9"/>
    <w:rsid w:val="1DA6365D"/>
    <w:rsid w:val="1E1760CE"/>
    <w:rsid w:val="1F97332B"/>
    <w:rsid w:val="20776533"/>
    <w:rsid w:val="20B71865"/>
    <w:rsid w:val="20C77B24"/>
    <w:rsid w:val="2533755C"/>
    <w:rsid w:val="25B76579"/>
    <w:rsid w:val="28194668"/>
    <w:rsid w:val="2B732DA8"/>
    <w:rsid w:val="2BEE01C4"/>
    <w:rsid w:val="2E290AD3"/>
    <w:rsid w:val="2E3A195C"/>
    <w:rsid w:val="2E41512F"/>
    <w:rsid w:val="2F6F1AFF"/>
    <w:rsid w:val="334066B2"/>
    <w:rsid w:val="345436F6"/>
    <w:rsid w:val="37681AAD"/>
    <w:rsid w:val="38A949B0"/>
    <w:rsid w:val="3A7252D2"/>
    <w:rsid w:val="3C5A2603"/>
    <w:rsid w:val="3C7E7E4E"/>
    <w:rsid w:val="3E987996"/>
    <w:rsid w:val="431247FD"/>
    <w:rsid w:val="45484568"/>
    <w:rsid w:val="46A613B3"/>
    <w:rsid w:val="48827FAC"/>
    <w:rsid w:val="48AF3C23"/>
    <w:rsid w:val="4A830224"/>
    <w:rsid w:val="4ACC7988"/>
    <w:rsid w:val="4B4032A8"/>
    <w:rsid w:val="4BBF129A"/>
    <w:rsid w:val="4C3A2039"/>
    <w:rsid w:val="4EDE5EDB"/>
    <w:rsid w:val="55322ADD"/>
    <w:rsid w:val="57AE73FB"/>
    <w:rsid w:val="605F58C8"/>
    <w:rsid w:val="619B4F35"/>
    <w:rsid w:val="63AE5C5A"/>
    <w:rsid w:val="640A5F1B"/>
    <w:rsid w:val="645F063B"/>
    <w:rsid w:val="683B134D"/>
    <w:rsid w:val="6ED950BD"/>
    <w:rsid w:val="6F15104E"/>
    <w:rsid w:val="6FAC3CC5"/>
    <w:rsid w:val="73D30BB3"/>
    <w:rsid w:val="74DC48C7"/>
    <w:rsid w:val="76D06644"/>
    <w:rsid w:val="77181135"/>
    <w:rsid w:val="78061E7B"/>
    <w:rsid w:val="7EF32F57"/>
    <w:rsid w:val="7F7F00C0"/>
    <w:rsid w:val="7FD601A3"/>
    <w:rsid w:val="9BFA0E74"/>
    <w:rsid w:val="EDD9EA72"/>
    <w:rsid w:val="FDB5CE77"/>
    <w:rsid w:val="FFB6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ind w:left="120" w:right="265"/>
    </w:pPr>
    <w:rPr>
      <w:rFonts w:ascii="仿宋" w:hAnsi="仿宋" w:eastAsia="仿宋" w:cs="仿宋"/>
      <w:sz w:val="32"/>
      <w:szCs w:val="32"/>
      <w:lang w:val="zh-CN" w:eastAsia="zh-CN" w:bidi="zh-CN"/>
    </w:rPr>
  </w:style>
  <w:style w:type="paragraph" w:styleId="7">
    <w:name w:val="Body Text Indent"/>
    <w:basedOn w:val="1"/>
    <w:next w:val="8"/>
    <w:autoRedefine/>
    <w:qFormat/>
    <w:uiPriority w:val="0"/>
    <w:pPr>
      <w:ind w:firstLine="680"/>
    </w:pPr>
    <w:rPr>
      <w:rFonts w:ascii="仿宋_GB2312" w:hAnsi="创艺简标宋" w:eastAsia="仿宋_GB2312"/>
      <w:sz w:val="32"/>
      <w:szCs w:val="20"/>
    </w:rPr>
  </w:style>
  <w:style w:type="paragraph" w:styleId="8">
    <w:name w:val="Body Text First Indent"/>
    <w:basedOn w:val="6"/>
    <w:autoRedefine/>
    <w:qFormat/>
    <w:uiPriority w:val="0"/>
    <w:pPr>
      <w:ind w:firstLine="420" w:firstLineChars="100"/>
    </w:pPr>
  </w:style>
  <w:style w:type="paragraph" w:styleId="9">
    <w:name w:val="Plain Text"/>
    <w:basedOn w:val="1"/>
    <w:autoRedefine/>
    <w:qFormat/>
    <w:uiPriority w:val="0"/>
    <w:rPr>
      <w:rFonts w:ascii="宋体" w:hAnsi="Courier New"/>
    </w:rPr>
  </w:style>
  <w:style w:type="paragraph" w:styleId="10">
    <w:name w:val="toc 1"/>
    <w:basedOn w:val="1"/>
    <w:next w:val="1"/>
    <w:autoRedefine/>
    <w:qFormat/>
    <w:uiPriority w:val="0"/>
    <w:pPr>
      <w:snapToGrid w:val="0"/>
      <w:spacing w:line="640" w:lineRule="exact"/>
      <w:ind w:firstLine="0" w:firstLineChars="0"/>
    </w:pPr>
    <w:rPr>
      <w:rFonts w:ascii="仿宋_GB2312" w:hAnsi="仿宋_GB2312"/>
      <w:color w:val="000000"/>
      <w:sz w:val="28"/>
      <w:szCs w:val="36"/>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autoRedefine/>
    <w:qFormat/>
    <w:uiPriority w:val="0"/>
    <w:pPr>
      <w:ind w:firstLine="420" w:firstLineChars="200"/>
    </w:pPr>
  </w:style>
  <w:style w:type="character" w:styleId="15">
    <w:name w:val="Strong"/>
    <w:basedOn w:val="14"/>
    <w:autoRedefine/>
    <w:qFormat/>
    <w:uiPriority w:val="0"/>
    <w:rPr>
      <w:b/>
    </w:rPr>
  </w:style>
  <w:style w:type="character" w:styleId="16">
    <w:name w:val="Emphasis"/>
    <w:basedOn w:val="14"/>
    <w:autoRedefine/>
    <w:qFormat/>
    <w:uiPriority w:val="0"/>
    <w:rPr>
      <w:i/>
    </w:rPr>
  </w:style>
  <w:style w:type="character" w:styleId="17">
    <w:name w:val="Hyperlink"/>
    <w:basedOn w:val="14"/>
    <w:autoRedefine/>
    <w:qFormat/>
    <w:uiPriority w:val="0"/>
    <w:rPr>
      <w:color w:val="0000FF"/>
      <w:u w:val="single"/>
    </w:rPr>
  </w:style>
  <w:style w:type="paragraph" w:styleId="18">
    <w:name w:val="List Paragraph"/>
    <w:basedOn w:val="1"/>
    <w:autoRedefine/>
    <w:qFormat/>
    <w:uiPriority w:val="1"/>
    <w:rPr>
      <w:lang w:val="zh-CN" w:eastAsia="zh-CN" w:bidi="zh-CN"/>
    </w:rPr>
  </w:style>
  <w:style w:type="character" w:customStyle="1" w:styleId="19">
    <w:name w:val="NormalCharacter"/>
    <w:autoRedefine/>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3795</Words>
  <Characters>3966</Characters>
  <Lines>0</Lines>
  <Paragraphs>0</Paragraphs>
  <TotalTime>0</TotalTime>
  <ScaleCrop>false</ScaleCrop>
  <LinksUpToDate>false</LinksUpToDate>
  <CharactersWithSpaces>3968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市审批局办公室赵辉</cp:lastModifiedBy>
  <cp:lastPrinted>2023-01-18T09:08:00Z</cp:lastPrinted>
  <dcterms:modified xsi:type="dcterms:W3CDTF">2025-01-22T01:32:28Z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D32199712F3B422C8255E361E70FE725</vt:lpwstr>
  </property>
</Properties>
</file>